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53" w:rsidRDefault="00A06416" w:rsidP="003052DA">
      <w:pPr>
        <w:jc w:val="center"/>
        <w:rPr>
          <w:b/>
          <w:sz w:val="28"/>
          <w:szCs w:val="28"/>
        </w:rPr>
      </w:pPr>
      <w:bookmarkStart w:id="0" w:name="_GoBack"/>
      <w:bookmarkEnd w:id="0"/>
      <w:r>
        <w:rPr>
          <w:b/>
          <w:sz w:val="28"/>
          <w:szCs w:val="28"/>
        </w:rPr>
        <w:t>Anexo 12</w:t>
      </w:r>
    </w:p>
    <w:p w:rsidR="003052DA" w:rsidRDefault="003052DA" w:rsidP="003052DA">
      <w:pPr>
        <w:jc w:val="center"/>
        <w:rPr>
          <w:b/>
          <w:sz w:val="28"/>
          <w:szCs w:val="28"/>
        </w:rPr>
      </w:pPr>
      <w:r>
        <w:rPr>
          <w:b/>
          <w:sz w:val="28"/>
          <w:szCs w:val="28"/>
        </w:rPr>
        <w:t>DESCRIPCION DE LA SOLUCION</w:t>
      </w:r>
    </w:p>
    <w:p w:rsidR="003052DA" w:rsidRPr="003052DA" w:rsidRDefault="003052DA" w:rsidP="003052DA">
      <w:pPr>
        <w:spacing w:after="0" w:line="240" w:lineRule="auto"/>
        <w:ind w:left="72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A continuación se describen las características mínimas de los equipos, requeridos para la implementación, hasta la puesta  en correcto funcionamiento de la Solución a contratar</w:t>
      </w:r>
    </w:p>
    <w:p w:rsidR="003052DA" w:rsidRPr="003052DA" w:rsidRDefault="003052DA" w:rsidP="003052DA">
      <w:pPr>
        <w:spacing w:after="0" w:line="240" w:lineRule="auto"/>
        <w:ind w:left="720"/>
        <w:jc w:val="both"/>
        <w:rPr>
          <w:rFonts w:ascii="Tahoma" w:eastAsia="Times New Roman" w:hAnsi="Tahoma" w:cs="Tahoma"/>
          <w:sz w:val="20"/>
          <w:szCs w:val="20"/>
          <w:lang w:val="es-ES" w:eastAsia="es-ES"/>
        </w:rPr>
      </w:pPr>
    </w:p>
    <w:p w:rsidR="003052DA" w:rsidRPr="003052DA" w:rsidRDefault="003052DA" w:rsidP="003052DA">
      <w:pPr>
        <w:spacing w:after="0" w:line="240" w:lineRule="auto"/>
        <w:ind w:left="720"/>
        <w:jc w:val="both"/>
        <w:rPr>
          <w:rFonts w:ascii="Tahoma" w:eastAsia="Times New Roman" w:hAnsi="Tahoma" w:cs="Tahoma"/>
          <w:sz w:val="20"/>
          <w:szCs w:val="20"/>
          <w:lang w:val="es-ES" w:eastAsia="es-ES"/>
        </w:rPr>
      </w:pPr>
    </w:p>
    <w:p w:rsidR="003052DA" w:rsidRPr="003052DA" w:rsidRDefault="003052DA" w:rsidP="003052DA">
      <w:pPr>
        <w:pStyle w:val="Prrafodelista"/>
        <w:numPr>
          <w:ilvl w:val="0"/>
          <w:numId w:val="6"/>
        </w:numPr>
        <w:spacing w:after="0" w:line="240" w:lineRule="auto"/>
        <w:jc w:val="both"/>
        <w:rPr>
          <w:rFonts w:ascii="Arial Narrow" w:eastAsia="Times New Roman" w:hAnsi="Arial Narrow" w:cs="Tahoma"/>
          <w:sz w:val="20"/>
          <w:szCs w:val="20"/>
          <w:lang w:val="es-ES" w:eastAsia="es-ES"/>
        </w:rPr>
      </w:pPr>
      <w:r w:rsidRPr="003052DA">
        <w:rPr>
          <w:rFonts w:ascii="Arial" w:eastAsia="Times New Roman" w:hAnsi="Arial" w:cs="Arial"/>
          <w:b/>
          <w:bCs/>
          <w:sz w:val="24"/>
          <w:szCs w:val="24"/>
          <w:lang w:val="es-ES" w:eastAsia="es-ES"/>
        </w:rPr>
        <w:t xml:space="preserve">Gabinete Rack para la Solución: </w:t>
      </w:r>
      <w:r w:rsidRPr="003052DA">
        <w:rPr>
          <w:rFonts w:ascii="Arial Narrow" w:eastAsia="Times New Roman" w:hAnsi="Arial Narrow" w:cs="Tahoma"/>
          <w:sz w:val="20"/>
          <w:szCs w:val="20"/>
          <w:lang w:val="es-ES" w:eastAsia="es-ES"/>
        </w:rPr>
        <w:t>este debe ser entregado</w:t>
      </w:r>
      <w:r w:rsidRPr="003052DA">
        <w:rPr>
          <w:rFonts w:ascii="Arial" w:eastAsia="Times New Roman" w:hAnsi="Arial" w:cs="Arial"/>
          <w:bCs/>
          <w:sz w:val="24"/>
          <w:szCs w:val="24"/>
          <w:lang w:val="es-ES" w:eastAsia="es-ES"/>
        </w:rPr>
        <w:t xml:space="preserve"> </w:t>
      </w:r>
      <w:r w:rsidRPr="003052DA">
        <w:rPr>
          <w:rFonts w:ascii="Arial Narrow" w:eastAsia="Times New Roman" w:hAnsi="Arial Narrow" w:cs="Tahoma"/>
          <w:sz w:val="20"/>
          <w:szCs w:val="20"/>
          <w:lang w:val="es-ES" w:eastAsia="es-ES"/>
        </w:rPr>
        <w:t xml:space="preserve">en caso que el esquema de  retoma así lo requiera. </w:t>
      </w: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tbl>
      <w:tblPr>
        <w:tblW w:w="8779" w:type="dxa"/>
        <w:jc w:val="center"/>
        <w:tblCellMar>
          <w:left w:w="70" w:type="dxa"/>
          <w:right w:w="70" w:type="dxa"/>
        </w:tblCellMar>
        <w:tblLook w:val="0000" w:firstRow="0" w:lastRow="0" w:firstColumn="0" w:lastColumn="0" w:noHBand="0" w:noVBand="0"/>
      </w:tblPr>
      <w:tblGrid>
        <w:gridCol w:w="478"/>
        <w:gridCol w:w="1279"/>
        <w:gridCol w:w="3803"/>
        <w:gridCol w:w="3219"/>
      </w:tblGrid>
      <w:tr w:rsidR="003052DA" w:rsidRPr="003052DA" w:rsidTr="003052DA">
        <w:trPr>
          <w:trHeight w:val="572"/>
          <w:jc w:val="center"/>
        </w:trPr>
        <w:tc>
          <w:tcPr>
            <w:tcW w:w="478" w:type="dxa"/>
            <w:tcBorders>
              <w:top w:val="single" w:sz="8" w:space="0" w:color="auto"/>
              <w:left w:val="single" w:sz="8" w:space="0" w:color="auto"/>
              <w:bottom w:val="single" w:sz="8"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Ítem</w:t>
            </w:r>
          </w:p>
        </w:tc>
        <w:tc>
          <w:tcPr>
            <w:tcW w:w="1279" w:type="dxa"/>
            <w:tcBorders>
              <w:top w:val="single" w:sz="8" w:space="0" w:color="auto"/>
              <w:left w:val="single" w:sz="8" w:space="0" w:color="auto"/>
              <w:bottom w:val="single" w:sz="4" w:space="0" w:color="auto"/>
              <w:right w:val="single" w:sz="4" w:space="0" w:color="auto"/>
            </w:tcBorders>
            <w:noWrap/>
            <w:vAlign w:val="center"/>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DESCRIPCIÓN</w:t>
            </w:r>
          </w:p>
        </w:tc>
        <w:tc>
          <w:tcPr>
            <w:tcW w:w="3803" w:type="dxa"/>
            <w:tcBorders>
              <w:top w:val="single" w:sz="8" w:space="0" w:color="auto"/>
              <w:left w:val="single" w:sz="4" w:space="0" w:color="auto"/>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CARACTERÍSTICAS MÍNIMAS</w:t>
            </w:r>
          </w:p>
        </w:tc>
        <w:tc>
          <w:tcPr>
            <w:tcW w:w="3219" w:type="dxa"/>
            <w:tcBorders>
              <w:top w:val="single" w:sz="8" w:space="0" w:color="auto"/>
              <w:left w:val="single" w:sz="4" w:space="0" w:color="auto"/>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b/>
                <w:bCs/>
                <w:i/>
                <w:sz w:val="20"/>
                <w:szCs w:val="20"/>
                <w:lang w:val="es-ES" w:eastAsia="es-ES"/>
              </w:rPr>
            </w:pPr>
            <w:r w:rsidRPr="003052DA">
              <w:rPr>
                <w:rFonts w:ascii="Arial Narrow" w:eastAsia="Times New Roman" w:hAnsi="Arial Narrow" w:cs="Tahoma"/>
                <w:b/>
                <w:bCs/>
                <w:i/>
                <w:sz w:val="20"/>
                <w:szCs w:val="20"/>
                <w:lang w:val="es-ES" w:eastAsia="es-ES"/>
              </w:rPr>
              <w:t>NÚMERO DE PÁGINA DE LA DOCUMENTACIÓN TÉCNICA</w:t>
            </w:r>
          </w:p>
        </w:tc>
      </w:tr>
      <w:tr w:rsidR="003052DA" w:rsidRPr="003052DA" w:rsidTr="003052DA">
        <w:trPr>
          <w:trHeight w:val="208"/>
          <w:jc w:val="center"/>
        </w:trPr>
        <w:tc>
          <w:tcPr>
            <w:tcW w:w="478" w:type="dxa"/>
            <w:tcBorders>
              <w:top w:val="single" w:sz="8" w:space="0" w:color="auto"/>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1</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Marca </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El proponente deberá especificar la misma marca en todos los equipos y componentes de la solución ofertada.</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8"/>
          <w:jc w:val="center"/>
        </w:trPr>
        <w:tc>
          <w:tcPr>
            <w:tcW w:w="478"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2</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Tamaño</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De 42 UR </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8"/>
          <w:jc w:val="center"/>
        </w:trPr>
        <w:tc>
          <w:tcPr>
            <w:tcW w:w="478"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3</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Cableado</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Se debe incluir el cableado interno del rack y el organizador de cableado para la instalación de los equipos.</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4</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Potencia</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Incluir unidades de distribución de potencia (PDU) redundante, que garanticen la instalación de todos los equipos y componentes ofertados.</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5</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Acabado </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Pintura electro estática en polvo y color negro mate</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6</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Calibre </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roofErr w:type="spellStart"/>
            <w:r w:rsidRPr="003052DA">
              <w:rPr>
                <w:rFonts w:ascii="Arial Narrow" w:eastAsia="Times New Roman" w:hAnsi="Arial Narrow" w:cs="Tahoma"/>
                <w:sz w:val="20"/>
                <w:szCs w:val="20"/>
                <w:lang w:val="es-ES" w:eastAsia="es-ES"/>
              </w:rPr>
              <w:t>Cold</w:t>
            </w:r>
            <w:proofErr w:type="spellEnd"/>
            <w:r w:rsidRPr="003052DA">
              <w:rPr>
                <w:rFonts w:ascii="Arial Narrow" w:eastAsia="Times New Roman" w:hAnsi="Arial Narrow" w:cs="Tahoma"/>
                <w:sz w:val="20"/>
                <w:szCs w:val="20"/>
                <w:lang w:val="es-ES" w:eastAsia="es-ES"/>
              </w:rPr>
              <w:t xml:space="preserve"> Roll 16</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64"/>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7</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Estructura</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Gabinete Cerrado, de piso.</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Puerta frontal con perforaciones para entrada de aire, desmontable y con chapa de seguridad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Puerta trasera con perforaciones para salida de aire, desmontable y con chapa de seguridad.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Norma EIA 310D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Formato de 19”.    </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bl>
    <w:p w:rsidR="003052DA" w:rsidRPr="003052DA" w:rsidRDefault="003052DA" w:rsidP="003052DA">
      <w:pPr>
        <w:suppressAutoHyphens/>
        <w:spacing w:after="0" w:line="240" w:lineRule="auto"/>
        <w:jc w:val="center"/>
        <w:rPr>
          <w:rFonts w:ascii="Tahoma" w:eastAsia="Times New Roman" w:hAnsi="Tahoma" w:cs="Tahoma"/>
          <w:sz w:val="16"/>
          <w:szCs w:val="16"/>
          <w:lang w:val="es-ES" w:eastAsia="es-ES"/>
        </w:rPr>
      </w:pPr>
      <w:r w:rsidRPr="003052DA">
        <w:rPr>
          <w:rFonts w:ascii="Tahoma" w:eastAsia="Times New Roman" w:hAnsi="Tahoma" w:cs="Tahoma"/>
          <w:sz w:val="16"/>
          <w:szCs w:val="16"/>
          <w:lang w:val="es-ES" w:eastAsia="es-ES"/>
        </w:rPr>
        <w:t>Tabla 1 Gabinete RACK</w:t>
      </w: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p w:rsidR="003052DA" w:rsidRPr="003052DA" w:rsidRDefault="003052DA" w:rsidP="003052DA">
      <w:pPr>
        <w:pStyle w:val="Prrafodelista"/>
        <w:numPr>
          <w:ilvl w:val="0"/>
          <w:numId w:val="6"/>
        </w:numPr>
        <w:spacing w:after="0" w:line="240" w:lineRule="auto"/>
        <w:jc w:val="both"/>
        <w:rPr>
          <w:rFonts w:ascii="Arial" w:eastAsia="Times New Roman" w:hAnsi="Arial" w:cs="Arial"/>
          <w:b/>
          <w:bCs/>
          <w:sz w:val="24"/>
          <w:szCs w:val="24"/>
          <w:lang w:val="es-ES" w:eastAsia="es-ES"/>
        </w:rPr>
      </w:pPr>
      <w:r w:rsidRPr="003052DA">
        <w:rPr>
          <w:rFonts w:ascii="Arial" w:eastAsia="Times New Roman" w:hAnsi="Arial" w:cs="Arial"/>
          <w:b/>
          <w:bCs/>
          <w:sz w:val="24"/>
          <w:szCs w:val="24"/>
          <w:lang w:val="es-ES" w:eastAsia="es-ES"/>
        </w:rPr>
        <w:t xml:space="preserve">Equipos y componentes para la solución. </w:t>
      </w:r>
    </w:p>
    <w:p w:rsidR="003052DA" w:rsidRPr="003052DA" w:rsidRDefault="003052DA" w:rsidP="003052DA">
      <w:pPr>
        <w:spacing w:after="0" w:line="240" w:lineRule="auto"/>
        <w:ind w:left="708"/>
        <w:jc w:val="both"/>
        <w:rPr>
          <w:rFonts w:ascii="Tahoma" w:eastAsia="Times New Roman" w:hAnsi="Tahoma" w:cs="Tahoma"/>
          <w:sz w:val="20"/>
          <w:szCs w:val="20"/>
          <w:lang w:val="es-ES" w:eastAsia="es-ES"/>
        </w:rPr>
      </w:pPr>
    </w:p>
    <w:p w:rsidR="003052DA" w:rsidRDefault="003052DA" w:rsidP="003052DA">
      <w:pPr>
        <w:spacing w:after="0" w:line="240" w:lineRule="auto"/>
        <w:jc w:val="both"/>
        <w:rPr>
          <w:rFonts w:ascii="Tahoma" w:eastAsia="Times New Roman" w:hAnsi="Tahoma" w:cs="Tahoma"/>
          <w:sz w:val="20"/>
          <w:szCs w:val="20"/>
          <w:lang w:val="es-ES" w:eastAsia="es-ES"/>
        </w:rPr>
      </w:pPr>
      <w:r w:rsidRPr="003052DA">
        <w:rPr>
          <w:rFonts w:ascii="Tahoma" w:eastAsia="Times New Roman" w:hAnsi="Tahoma" w:cs="Tahoma"/>
          <w:sz w:val="20"/>
          <w:szCs w:val="20"/>
          <w:lang w:val="es-ES" w:eastAsia="es-ES"/>
        </w:rPr>
        <w:t xml:space="preserve">Consistente en: Controladoras, </w:t>
      </w:r>
      <w:proofErr w:type="spellStart"/>
      <w:r w:rsidRPr="003052DA">
        <w:rPr>
          <w:rFonts w:ascii="Tahoma" w:eastAsia="Times New Roman" w:hAnsi="Tahoma" w:cs="Tahoma"/>
          <w:sz w:val="20"/>
          <w:szCs w:val="20"/>
          <w:lang w:val="es-ES" w:eastAsia="es-ES"/>
        </w:rPr>
        <w:t>Switches</w:t>
      </w:r>
      <w:proofErr w:type="spellEnd"/>
      <w:r w:rsidRPr="003052DA">
        <w:rPr>
          <w:rFonts w:ascii="Tahoma" w:eastAsia="Times New Roman" w:hAnsi="Tahoma" w:cs="Tahoma"/>
          <w:sz w:val="20"/>
          <w:szCs w:val="20"/>
          <w:lang w:val="es-ES" w:eastAsia="es-ES"/>
        </w:rPr>
        <w:t>, Cajones  de discos</w:t>
      </w:r>
    </w:p>
    <w:p w:rsidR="000F5C35" w:rsidRDefault="000F5C35" w:rsidP="003052DA">
      <w:pPr>
        <w:spacing w:after="0" w:line="240" w:lineRule="auto"/>
        <w:jc w:val="both"/>
        <w:rPr>
          <w:rFonts w:ascii="Tahoma" w:eastAsia="Times New Roman" w:hAnsi="Tahoma" w:cs="Tahoma"/>
          <w:sz w:val="20"/>
          <w:szCs w:val="20"/>
          <w:lang w:val="es-ES"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
        <w:gridCol w:w="2802"/>
        <w:gridCol w:w="2883"/>
        <w:gridCol w:w="2357"/>
      </w:tblGrid>
      <w:tr w:rsidR="000F5C35" w:rsidRPr="000358BD" w:rsidTr="000F5C35">
        <w:trPr>
          <w:trHeight w:val="315"/>
          <w:jc w:val="center"/>
        </w:trPr>
        <w:tc>
          <w:tcPr>
            <w:tcW w:w="742" w:type="dxa"/>
            <w:shd w:val="clear" w:color="000000" w:fill="A6A6A6"/>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ITEM</w:t>
            </w:r>
          </w:p>
        </w:tc>
        <w:tc>
          <w:tcPr>
            <w:tcW w:w="2802" w:type="dxa"/>
            <w:shd w:val="clear" w:color="000000" w:fill="A6A6A6"/>
            <w:noWrap/>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DESCRIPCIÓN</w:t>
            </w:r>
          </w:p>
        </w:tc>
        <w:tc>
          <w:tcPr>
            <w:tcW w:w="2883" w:type="dxa"/>
            <w:shd w:val="clear" w:color="000000" w:fill="BFBFBF"/>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CARACTERÍSTICAS MÍNIMAS</w:t>
            </w:r>
          </w:p>
        </w:tc>
        <w:tc>
          <w:tcPr>
            <w:tcW w:w="2357" w:type="dxa"/>
            <w:shd w:val="clear" w:color="000000" w:fill="BFBFBF"/>
            <w:vAlign w:val="center"/>
          </w:tcPr>
          <w:p w:rsidR="000F5C35" w:rsidRPr="000358BD" w:rsidRDefault="000F5C35" w:rsidP="00F00EDD">
            <w:pPr>
              <w:jc w:val="center"/>
              <w:rPr>
                <w:rFonts w:ascii="Arial Narrow" w:hAnsi="Arial Narrow"/>
                <w:b/>
                <w:bCs/>
                <w:color w:val="000000"/>
                <w:sz w:val="20"/>
                <w:szCs w:val="20"/>
                <w:lang w:val="es-ES_tradnl"/>
              </w:rPr>
            </w:pPr>
            <w:r w:rsidRPr="003052DA">
              <w:rPr>
                <w:rFonts w:ascii="Arial Narrow" w:eastAsia="Times New Roman" w:hAnsi="Arial Narrow" w:cs="Tahoma"/>
                <w:b/>
                <w:bCs/>
                <w:i/>
                <w:sz w:val="20"/>
                <w:szCs w:val="20"/>
                <w:lang w:val="es-ES" w:eastAsia="es-ES"/>
              </w:rPr>
              <w:t>NÚMERO DE PÁGINA DE LA DOCUMENTACIÓN TÉCNICA</w:t>
            </w:r>
          </w:p>
        </w:tc>
      </w:tr>
      <w:tr w:rsidR="000F5C35" w:rsidRPr="000358BD" w:rsidTr="000F5C35">
        <w:trPr>
          <w:trHeight w:val="544"/>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Marca del sistema de almacenamiento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deberá especificar la misma marca en todos los equipos y componentes de la solución ofertada.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5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lastRenderedPageBreak/>
              <w:t>2</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Referencia del sistema de almacenamiento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deberá especificar la referencia de la solución a ofertar</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7"/>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Tipo de Formato de los componentes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Rack</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25"/>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Número de host soportados</w:t>
            </w:r>
          </w:p>
        </w:tc>
        <w:tc>
          <w:tcPr>
            <w:tcW w:w="2883" w:type="dxa"/>
            <w:shd w:val="clear" w:color="auto" w:fill="auto"/>
            <w:noWrap/>
            <w:vAlign w:val="center"/>
            <w:hideMark/>
          </w:tcPr>
          <w:p w:rsidR="000F5C35" w:rsidRPr="00666835" w:rsidRDefault="000F5C35" w:rsidP="00F00EDD">
            <w:pPr>
              <w:jc w:val="both"/>
              <w:rPr>
                <w:rFonts w:cs="Tahoma"/>
                <w:sz w:val="20"/>
                <w:szCs w:val="20"/>
              </w:rPr>
            </w:pPr>
            <w:r w:rsidRPr="00666835">
              <w:rPr>
                <w:rFonts w:cs="Tahoma"/>
                <w:sz w:val="20"/>
                <w:szCs w:val="20"/>
              </w:rPr>
              <w:t xml:space="preserve">Mínimo 200 por par de controladoras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4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5</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Protocolos de comunicación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Debe soportar,  implementar y configurar los protocolos de comunicación utilizados en los sistemas SAN (ISCSI, FC, entre otros) y NAS (NFS, </w:t>
            </w:r>
            <w:proofErr w:type="spellStart"/>
            <w:r w:rsidRPr="00666835">
              <w:rPr>
                <w:rFonts w:cs="Tahoma"/>
                <w:sz w:val="20"/>
                <w:szCs w:val="20"/>
              </w:rPr>
              <w:t>pNFS</w:t>
            </w:r>
            <w:proofErr w:type="spellEnd"/>
            <w:r w:rsidRPr="00666835">
              <w:rPr>
                <w:rFonts w:cs="Tahoma"/>
                <w:sz w:val="20"/>
                <w:szCs w:val="20"/>
              </w:rPr>
              <w:t xml:space="preserve">, CIFS/SMB) en la misma solución ofertada.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4"/>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6</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Conectividad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ofertada debe soportar puertos 1 </w:t>
            </w:r>
            <w:proofErr w:type="spellStart"/>
            <w:r w:rsidRPr="00666835">
              <w:rPr>
                <w:rFonts w:cs="Tahoma"/>
                <w:sz w:val="20"/>
                <w:szCs w:val="20"/>
              </w:rPr>
              <w:t>GbpsE</w:t>
            </w:r>
            <w:proofErr w:type="spellEnd"/>
            <w:r w:rsidRPr="00666835">
              <w:rPr>
                <w:rFonts w:cs="Tahoma"/>
                <w:sz w:val="20"/>
                <w:szCs w:val="20"/>
              </w:rPr>
              <w:t xml:space="preserve">, 10 </w:t>
            </w:r>
            <w:proofErr w:type="spellStart"/>
            <w:r w:rsidRPr="00666835">
              <w:rPr>
                <w:rFonts w:cs="Tahoma"/>
                <w:sz w:val="20"/>
                <w:szCs w:val="20"/>
              </w:rPr>
              <w:t>GbpsE</w:t>
            </w:r>
            <w:proofErr w:type="spellEnd"/>
            <w:r w:rsidRPr="00666835">
              <w:rPr>
                <w:rFonts w:cs="Tahoma"/>
                <w:sz w:val="20"/>
                <w:szCs w:val="20"/>
              </w:rPr>
              <w:t xml:space="preserve">, 8 </w:t>
            </w:r>
            <w:proofErr w:type="spellStart"/>
            <w:r w:rsidRPr="00666835">
              <w:rPr>
                <w:rFonts w:cs="Tahoma"/>
                <w:sz w:val="20"/>
                <w:szCs w:val="20"/>
              </w:rPr>
              <w:t>Gbps</w:t>
            </w:r>
            <w:proofErr w:type="spellEnd"/>
            <w:r w:rsidRPr="00666835">
              <w:rPr>
                <w:rFonts w:cs="Tahoma"/>
                <w:sz w:val="20"/>
                <w:szCs w:val="20"/>
              </w:rPr>
              <w:t xml:space="preserve"> FC, 4 </w:t>
            </w:r>
            <w:proofErr w:type="spellStart"/>
            <w:r w:rsidRPr="00666835">
              <w:rPr>
                <w:rFonts w:cs="Tahoma"/>
                <w:sz w:val="20"/>
                <w:szCs w:val="20"/>
              </w:rPr>
              <w:t>Gbps</w:t>
            </w:r>
            <w:proofErr w:type="spellEnd"/>
            <w:r w:rsidRPr="00666835">
              <w:rPr>
                <w:rFonts w:cs="Tahoma"/>
                <w:sz w:val="20"/>
                <w:szCs w:val="20"/>
              </w:rPr>
              <w:t xml:space="preserve"> FC.</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8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debe incluir, en correcto funcionamiento, como mínimo:</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Cuatro (4) puertos FC a 8Gbps por par de controladoras</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 xml:space="preserve">Seis (6) puertos </w:t>
            </w:r>
            <w:proofErr w:type="spellStart"/>
            <w:r w:rsidRPr="00666835">
              <w:rPr>
                <w:rFonts w:cs="Tahoma"/>
                <w:sz w:val="20"/>
                <w:szCs w:val="20"/>
              </w:rPr>
              <w:t>GbpsE</w:t>
            </w:r>
            <w:proofErr w:type="spellEnd"/>
            <w:r w:rsidRPr="00666835">
              <w:rPr>
                <w:rFonts w:cs="Tahoma"/>
                <w:sz w:val="20"/>
                <w:szCs w:val="20"/>
              </w:rPr>
              <w:t xml:space="preserve"> por par de controladora o cuatro (4) de 10 </w:t>
            </w:r>
            <w:proofErr w:type="spellStart"/>
            <w:r w:rsidRPr="00666835">
              <w:rPr>
                <w:rFonts w:cs="Tahoma"/>
                <w:sz w:val="20"/>
                <w:szCs w:val="20"/>
              </w:rPr>
              <w:t>GbpsE</w:t>
            </w:r>
            <w:proofErr w:type="spellEnd"/>
            <w:r w:rsidRPr="00666835">
              <w:rPr>
                <w:rFonts w:cs="Tahoma"/>
                <w:sz w:val="20"/>
                <w:szCs w:val="20"/>
              </w:rPr>
              <w:t>.</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Organizador de cableado de datos para la instalación de los equipos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7</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Capacidad de almacenamiento a suministrar</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Mínimo 40 TB Efectivas.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4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8</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Crecimiento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Debe permitir crecimiento mínimo a 300 TB efectivas en el mismo equipo, utilizando las mismas controladoras, sin requerir migración de datos.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4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9</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Soporte de arreglos de discos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Debe soportar como mínimo los siguientes arreglos de discos RAID 0, 1, 5 y 6. </w:t>
            </w:r>
          </w:p>
          <w:p w:rsidR="000F5C35" w:rsidRPr="00666835" w:rsidRDefault="000F5C35" w:rsidP="00F00EDD">
            <w:pPr>
              <w:jc w:val="both"/>
              <w:rPr>
                <w:rFonts w:cs="Tahoma"/>
                <w:sz w:val="20"/>
                <w:szCs w:val="20"/>
              </w:rPr>
            </w:pPr>
            <w:r w:rsidRPr="00666835">
              <w:rPr>
                <w:rFonts w:cs="Tahoma"/>
                <w:sz w:val="20"/>
                <w:szCs w:val="20"/>
              </w:rPr>
              <w:t xml:space="preserve">Se debe hacer la configuración de acuerdo a las necesidades de la universidad.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8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lastRenderedPageBreak/>
              <w:t>10</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Memoria Caché y Aceleradores de cache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Mínimo 16 GB por par de controladoras. La solución debe ofrecer la posibilidad de ampliar su cache de lectura internamente mínimo de 32 GB por par de controladoras.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0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Controladoras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debe tener mínimo dos (2) controladoras Hot </w:t>
            </w:r>
            <w:proofErr w:type="spellStart"/>
            <w:r w:rsidRPr="00666835">
              <w:rPr>
                <w:rFonts w:cs="Tahoma"/>
                <w:sz w:val="20"/>
                <w:szCs w:val="20"/>
              </w:rPr>
              <w:t>Plugable</w:t>
            </w:r>
            <w:proofErr w:type="spellEnd"/>
            <w:r w:rsidRPr="00666835">
              <w:rPr>
                <w:rFonts w:cs="Tahoma"/>
                <w:sz w:val="20"/>
                <w:szCs w:val="20"/>
              </w:rPr>
              <w:t xml:space="preserve"> con configuración activo-activo para SAN.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6"/>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12</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Discos Duros</w:t>
            </w:r>
          </w:p>
        </w:tc>
        <w:tc>
          <w:tcPr>
            <w:tcW w:w="2883" w:type="dxa"/>
            <w:shd w:val="clear" w:color="auto" w:fill="auto"/>
            <w:vAlign w:val="center"/>
            <w:hideMark/>
          </w:tcPr>
          <w:p w:rsidR="000F5C35" w:rsidRDefault="000F5C35" w:rsidP="00F00EDD">
            <w:pPr>
              <w:jc w:val="both"/>
              <w:rPr>
                <w:rFonts w:cs="Tahoma"/>
                <w:sz w:val="20"/>
                <w:szCs w:val="20"/>
              </w:rPr>
            </w:pPr>
            <w:r w:rsidRPr="00666835">
              <w:rPr>
                <w:rFonts w:cs="Tahoma"/>
                <w:sz w:val="20"/>
                <w:szCs w:val="20"/>
              </w:rPr>
              <w:t>Los requeridos para garantizar 40 TB efectivas. Como mínimo en discos SAS el 50% del total efectivo del almacenamiento.</w:t>
            </w:r>
          </w:p>
          <w:p w:rsidR="000F5C35" w:rsidRDefault="000F5C35" w:rsidP="00F00EDD">
            <w:pPr>
              <w:jc w:val="both"/>
              <w:rPr>
                <w:rFonts w:cs="Tahoma"/>
                <w:sz w:val="20"/>
                <w:szCs w:val="20"/>
              </w:rPr>
            </w:pPr>
          </w:p>
          <w:p w:rsidR="000F5C35" w:rsidRPr="00666835" w:rsidRDefault="000F5C35" w:rsidP="00F00EDD">
            <w:pPr>
              <w:jc w:val="both"/>
              <w:rPr>
                <w:rFonts w:cs="Tahoma"/>
                <w:sz w:val="20"/>
                <w:szCs w:val="20"/>
              </w:rPr>
            </w:pPr>
            <w:r w:rsidRPr="00666835">
              <w:rPr>
                <w:rFonts w:cs="Tahoma"/>
                <w:sz w:val="20"/>
                <w:szCs w:val="20"/>
              </w:rPr>
              <w:t>La cantidad IOP</w:t>
            </w:r>
            <w:r>
              <w:rPr>
                <w:rFonts w:cs="Tahoma"/>
                <w:sz w:val="20"/>
                <w:szCs w:val="20"/>
              </w:rPr>
              <w:t>S esperada, como mínimo será de 3000</w:t>
            </w:r>
            <w:r w:rsidRPr="00666835">
              <w:rPr>
                <w:rFonts w:cs="Tahoma"/>
                <w:sz w:val="20"/>
                <w:szCs w:val="20"/>
              </w:rPr>
              <w:t xml:space="preserve"> IOPS por segundo</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15"/>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Discos Hot </w:t>
            </w:r>
            <w:proofErr w:type="spellStart"/>
            <w:r w:rsidRPr="00666835">
              <w:rPr>
                <w:rFonts w:cs="Tahoma"/>
                <w:sz w:val="20"/>
                <w:szCs w:val="20"/>
              </w:rPr>
              <w:t>Plugable</w:t>
            </w:r>
            <w:proofErr w:type="spellEnd"/>
            <w:r w:rsidRPr="00666835">
              <w:rPr>
                <w:rFonts w:cs="Tahoma"/>
                <w:sz w:val="20"/>
                <w:szCs w:val="20"/>
              </w:rPr>
              <w:t xml:space="preserve"> o Hot Swap</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225"/>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Raid y Discos de Hot </w:t>
            </w:r>
            <w:proofErr w:type="spellStart"/>
            <w:r w:rsidRPr="00666835">
              <w:rPr>
                <w:rFonts w:cs="Tahoma"/>
                <w:sz w:val="20"/>
                <w:szCs w:val="20"/>
              </w:rPr>
              <w:t>Spare</w:t>
            </w:r>
            <w:proofErr w:type="spellEnd"/>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requiere configurar los discos duros en el RAID de mayor  protección en la tecnología ofrecida y que soporte fallas de hasta dos (2) discos de forma simultánea. Se deben instalar discos de HOT SPARE para cada tipo de disco ofertado. En caso de falla, el sistema deberá activar la reconstrucción automática de RAID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79"/>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14</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Tipos de cajones de discos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Cada cajón debe soportar como mínimo 24  discos.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ofertada debe soportar discos SATA, NL-SAS, SAS y  SSD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58"/>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debe incluir los cajones de discos necesarios para garantizar que los discos contratados queden instalados y configurados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8"/>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15</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Conectividad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garantizar e implementar conexión </w:t>
            </w:r>
            <w:r w:rsidRPr="00666835">
              <w:rPr>
                <w:rFonts w:cs="Tahoma"/>
                <w:sz w:val="20"/>
                <w:szCs w:val="20"/>
              </w:rPr>
              <w:lastRenderedPageBreak/>
              <w:t xml:space="preserve">redundante </w:t>
            </w:r>
            <w:proofErr w:type="spellStart"/>
            <w:r w:rsidRPr="00666835">
              <w:rPr>
                <w:rFonts w:cs="Tahoma"/>
                <w:sz w:val="20"/>
                <w:szCs w:val="20"/>
              </w:rPr>
              <w:t>Fibre</w:t>
            </w:r>
            <w:proofErr w:type="spellEnd"/>
            <w:r w:rsidRPr="00666835">
              <w:rPr>
                <w:rFonts w:cs="Tahoma"/>
                <w:sz w:val="20"/>
                <w:szCs w:val="20"/>
              </w:rPr>
              <w:t xml:space="preserve"> </w:t>
            </w:r>
            <w:proofErr w:type="spellStart"/>
            <w:r w:rsidRPr="00666835">
              <w:rPr>
                <w:rFonts w:cs="Tahoma"/>
                <w:sz w:val="20"/>
                <w:szCs w:val="20"/>
              </w:rPr>
              <w:t>Channel</w:t>
            </w:r>
            <w:proofErr w:type="spellEnd"/>
            <w:r w:rsidRPr="00666835">
              <w:rPr>
                <w:rFonts w:cs="Tahoma"/>
                <w:sz w:val="20"/>
                <w:szCs w:val="20"/>
              </w:rPr>
              <w:t xml:space="preserve"> (FC).</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109"/>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suministrar (siempre y cuando los componentes de la Tabla 3 “Componentes que no entran en la retoma”, no sean compatibles con la solución),  como mínimo  dos (2) </w:t>
            </w:r>
            <w:proofErr w:type="spellStart"/>
            <w:r w:rsidRPr="00666835">
              <w:rPr>
                <w:rFonts w:cs="Tahoma"/>
                <w:sz w:val="20"/>
                <w:szCs w:val="20"/>
              </w:rPr>
              <w:t>Switch</w:t>
            </w:r>
            <w:proofErr w:type="spellEnd"/>
            <w:r w:rsidRPr="00666835">
              <w:rPr>
                <w:rFonts w:cs="Tahoma"/>
                <w:sz w:val="20"/>
                <w:szCs w:val="20"/>
              </w:rPr>
              <w:t xml:space="preserve"> FC con 32 puertos activos y completamente  licenciados, a una velocidad mínima de  8 </w:t>
            </w:r>
            <w:proofErr w:type="spellStart"/>
            <w:r w:rsidRPr="00666835">
              <w:rPr>
                <w:rFonts w:cs="Tahoma"/>
                <w:sz w:val="20"/>
                <w:szCs w:val="20"/>
              </w:rPr>
              <w:t>Gbps</w:t>
            </w:r>
            <w:proofErr w:type="spellEnd"/>
            <w:r w:rsidRPr="00666835">
              <w:rPr>
                <w:rFonts w:cs="Tahoma"/>
                <w:sz w:val="20"/>
                <w:szCs w:val="20"/>
              </w:rPr>
              <w:t xml:space="preserve">,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7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Todos los puertos deben estar debidamente licenciados y activos; deben incluir  sus respectivos SFP</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9"/>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Deben soportar auto negociación.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15"/>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16</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Redundancia: Buscando alta disponibilidad, se debe implementar el esquema de redundancia en los siguientes elementos: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Fuentes </w:t>
            </w:r>
            <w:proofErr w:type="spellStart"/>
            <w:r w:rsidRPr="00666835">
              <w:rPr>
                <w:rFonts w:cs="Tahoma"/>
                <w:sz w:val="20"/>
                <w:szCs w:val="20"/>
              </w:rPr>
              <w:t>hot</w:t>
            </w:r>
            <w:proofErr w:type="spellEnd"/>
            <w:r w:rsidRPr="00666835">
              <w:rPr>
                <w:rFonts w:cs="Tahoma"/>
                <w:sz w:val="20"/>
                <w:szCs w:val="20"/>
              </w:rPr>
              <w:t xml:space="preserve"> </w:t>
            </w:r>
            <w:proofErr w:type="spellStart"/>
            <w:r w:rsidRPr="00666835">
              <w:rPr>
                <w:rFonts w:cs="Tahoma"/>
                <w:sz w:val="20"/>
                <w:szCs w:val="20"/>
              </w:rPr>
              <w:t>plugable</w:t>
            </w:r>
            <w:proofErr w:type="spellEnd"/>
            <w:r w:rsidRPr="00666835">
              <w:rPr>
                <w:rFonts w:cs="Tahoma"/>
                <w:sz w:val="20"/>
                <w:szCs w:val="20"/>
              </w:rPr>
              <w:t xml:space="preserve"> redundantes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3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Ventiladores </w:t>
            </w:r>
            <w:proofErr w:type="spellStart"/>
            <w:r w:rsidRPr="00666835">
              <w:rPr>
                <w:rFonts w:cs="Tahoma"/>
                <w:sz w:val="20"/>
                <w:szCs w:val="20"/>
              </w:rPr>
              <w:t>hot</w:t>
            </w:r>
            <w:proofErr w:type="spellEnd"/>
            <w:r w:rsidRPr="00666835">
              <w:rPr>
                <w:rFonts w:cs="Tahoma"/>
                <w:sz w:val="20"/>
                <w:szCs w:val="20"/>
              </w:rPr>
              <w:t xml:space="preserve"> </w:t>
            </w:r>
            <w:proofErr w:type="spellStart"/>
            <w:r w:rsidRPr="00666835">
              <w:rPr>
                <w:rFonts w:cs="Tahoma"/>
                <w:sz w:val="20"/>
                <w:szCs w:val="20"/>
              </w:rPr>
              <w:t>plugable</w:t>
            </w:r>
            <w:proofErr w:type="spellEnd"/>
            <w:r w:rsidRPr="00666835">
              <w:rPr>
                <w:rFonts w:cs="Tahoma"/>
                <w:sz w:val="20"/>
                <w:szCs w:val="20"/>
              </w:rPr>
              <w:t xml:space="preserve"> redundantes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2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PDU redundantes para conexión eléctrica a la UPS (siempre y cuando los componentes de la Tabla 3 “Componentes que no entran en la retoma”, no sean compatibles con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7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Controladoras Hot </w:t>
            </w:r>
            <w:proofErr w:type="spellStart"/>
            <w:r w:rsidRPr="00666835">
              <w:rPr>
                <w:rFonts w:cs="Tahoma"/>
                <w:sz w:val="20"/>
                <w:szCs w:val="20"/>
              </w:rPr>
              <w:t>Plugable</w:t>
            </w:r>
            <w:proofErr w:type="spellEnd"/>
            <w:r w:rsidRPr="00666835">
              <w:rPr>
                <w:rFonts w:cs="Tahoma"/>
                <w:sz w:val="20"/>
                <w:szCs w:val="20"/>
              </w:rPr>
              <w:t xml:space="preserve"> Redundantes.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proofErr w:type="spellStart"/>
            <w:r w:rsidRPr="00666835">
              <w:rPr>
                <w:rFonts w:cs="Tahoma"/>
                <w:sz w:val="20"/>
                <w:szCs w:val="20"/>
              </w:rPr>
              <w:t>Switches</w:t>
            </w:r>
            <w:proofErr w:type="spellEnd"/>
            <w:r w:rsidRPr="00666835">
              <w:rPr>
                <w:rFonts w:cs="Tahoma"/>
                <w:sz w:val="20"/>
                <w:szCs w:val="20"/>
              </w:rPr>
              <w:t xml:space="preserve"> SAN Redundantes (siempre y cuando los componentes de la Tabla 3 “Componentes que no entran en la retoma”, no sean compatibles con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34"/>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17</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De-Duplicación SAN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Licenciamiento ilimitado para De-duplicación de datos en almacenamiento de producción en SAN. La de-duplicación se debe realizar en el almacenamiento primario, sin el uso de hardware y/o software adicional a nivel de bloques.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debe realizar la De-duplicación por Hardware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7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18</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Compresión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entregar la funcionalidad de comprimir datos en SAN y NAS según aplique.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8"/>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19</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Seguridad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LUN </w:t>
            </w:r>
            <w:proofErr w:type="spellStart"/>
            <w:r w:rsidRPr="00666835">
              <w:rPr>
                <w:rFonts w:cs="Tahoma"/>
                <w:sz w:val="20"/>
                <w:szCs w:val="20"/>
              </w:rPr>
              <w:t>masking</w:t>
            </w:r>
            <w:proofErr w:type="spellEnd"/>
            <w:r w:rsidRPr="00666835">
              <w:rPr>
                <w:rFonts w:cs="Tahoma"/>
                <w:sz w:val="20"/>
                <w:szCs w:val="20"/>
              </w:rPr>
              <w:t>, debe permitir que múltiples servidores compartan una conexión FC, además de proteger las LUN asignadas a cada uno de los servidores.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20</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BACKUP</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El sistema debe integrar la funcionalidad de </w:t>
            </w:r>
            <w:proofErr w:type="spellStart"/>
            <w:r w:rsidRPr="00666835">
              <w:rPr>
                <w:rFonts w:cs="Tahoma"/>
                <w:sz w:val="20"/>
                <w:szCs w:val="20"/>
              </w:rPr>
              <w:t>Backup</w:t>
            </w:r>
            <w:proofErr w:type="spellEnd"/>
            <w:r w:rsidRPr="00666835">
              <w:rPr>
                <w:rFonts w:cs="Tahoma"/>
                <w:sz w:val="20"/>
                <w:szCs w:val="20"/>
              </w:rPr>
              <w:t xml:space="preserve"> a disco y debe permitir enviar información directamente al sistema de </w:t>
            </w:r>
            <w:proofErr w:type="spellStart"/>
            <w:r w:rsidRPr="00666835">
              <w:rPr>
                <w:rFonts w:cs="Tahoma"/>
                <w:sz w:val="20"/>
                <w:szCs w:val="20"/>
              </w:rPr>
              <w:t>Backup</w:t>
            </w:r>
            <w:proofErr w:type="spellEnd"/>
            <w:r w:rsidRPr="00666835">
              <w:rPr>
                <w:rFonts w:cs="Tahoma"/>
                <w:sz w:val="20"/>
                <w:szCs w:val="20"/>
              </w:rPr>
              <w:t xml:space="preserve"> MSL4048. -librería  con la que actualmente cuenta la universidad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1"/>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21</w:t>
            </w:r>
          </w:p>
        </w:tc>
        <w:tc>
          <w:tcPr>
            <w:tcW w:w="2802" w:type="dxa"/>
            <w:shd w:val="clear" w:color="auto" w:fill="auto"/>
            <w:vAlign w:val="center"/>
            <w:hideMark/>
          </w:tcPr>
          <w:p w:rsidR="000F5C35" w:rsidRPr="00666835" w:rsidRDefault="000F5C35" w:rsidP="00F00EDD">
            <w:pPr>
              <w:jc w:val="both"/>
              <w:rPr>
                <w:rFonts w:cs="Tahoma"/>
                <w:sz w:val="20"/>
                <w:szCs w:val="20"/>
              </w:rPr>
            </w:pPr>
            <w:proofErr w:type="spellStart"/>
            <w:r w:rsidRPr="00666835">
              <w:rPr>
                <w:rFonts w:cs="Tahoma"/>
                <w:sz w:val="20"/>
                <w:szCs w:val="20"/>
              </w:rPr>
              <w:t>Secure</w:t>
            </w:r>
            <w:proofErr w:type="spellEnd"/>
            <w:r w:rsidRPr="00666835">
              <w:rPr>
                <w:rFonts w:cs="Tahoma"/>
                <w:sz w:val="20"/>
                <w:szCs w:val="20"/>
              </w:rPr>
              <w:t xml:space="preserve"> </w:t>
            </w:r>
            <w:proofErr w:type="spellStart"/>
            <w:r w:rsidRPr="00666835">
              <w:rPr>
                <w:rFonts w:cs="Tahoma"/>
                <w:sz w:val="20"/>
                <w:szCs w:val="20"/>
              </w:rPr>
              <w:t>Multi-Tenancy</w:t>
            </w:r>
            <w:proofErr w:type="spellEnd"/>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El sistema debe tener la funcionalidad que permita el </w:t>
            </w:r>
            <w:proofErr w:type="spellStart"/>
            <w:r w:rsidRPr="00666835">
              <w:rPr>
                <w:rFonts w:cs="Tahoma"/>
                <w:sz w:val="20"/>
                <w:szCs w:val="20"/>
              </w:rPr>
              <w:t>particionamiento</w:t>
            </w:r>
            <w:proofErr w:type="spellEnd"/>
            <w:r w:rsidRPr="00666835">
              <w:rPr>
                <w:rFonts w:cs="Tahoma"/>
                <w:sz w:val="20"/>
                <w:szCs w:val="20"/>
              </w:rPr>
              <w:t xml:space="preserve"> en subsistemas con el fin de habilitar la función de independizar el almacenamiento por unidades. Debe cumplir con </w:t>
            </w:r>
            <w:proofErr w:type="spellStart"/>
            <w:r w:rsidRPr="00666835">
              <w:rPr>
                <w:rFonts w:cs="Tahoma"/>
                <w:sz w:val="20"/>
                <w:szCs w:val="20"/>
              </w:rPr>
              <w:t>Secure</w:t>
            </w:r>
            <w:proofErr w:type="spellEnd"/>
            <w:r w:rsidRPr="00666835">
              <w:rPr>
                <w:rFonts w:cs="Tahoma"/>
                <w:sz w:val="20"/>
                <w:szCs w:val="20"/>
              </w:rPr>
              <w:t xml:space="preserve"> </w:t>
            </w:r>
            <w:proofErr w:type="spellStart"/>
            <w:r w:rsidRPr="00666835">
              <w:rPr>
                <w:rFonts w:cs="Tahoma"/>
                <w:sz w:val="20"/>
                <w:szCs w:val="20"/>
              </w:rPr>
              <w:t>Multi</w:t>
            </w:r>
            <w:proofErr w:type="spellEnd"/>
            <w:r w:rsidRPr="00666835">
              <w:rPr>
                <w:rFonts w:cs="Tahoma"/>
                <w:sz w:val="20"/>
                <w:szCs w:val="20"/>
              </w:rPr>
              <w:t xml:space="preserve"> –</w:t>
            </w:r>
            <w:proofErr w:type="spellStart"/>
            <w:r w:rsidRPr="00666835">
              <w:rPr>
                <w:rFonts w:cs="Tahoma"/>
                <w:sz w:val="20"/>
                <w:szCs w:val="20"/>
              </w:rPr>
              <w:t>Tenancy</w:t>
            </w:r>
            <w:proofErr w:type="spellEnd"/>
            <w:r w:rsidRPr="00666835">
              <w:rPr>
                <w:rFonts w:cs="Tahoma"/>
                <w:sz w:val="20"/>
                <w:szCs w:val="20"/>
              </w:rPr>
              <w:t xml:space="preserve">,  o como cada uno de los fabricantes lo denomine.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7"/>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22</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Licenciamiento de software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ofertado debe incluir:</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 xml:space="preserve">Funcionalidad de creación de </w:t>
            </w:r>
            <w:proofErr w:type="spellStart"/>
            <w:r w:rsidRPr="00666835">
              <w:rPr>
                <w:rFonts w:cs="Tahoma"/>
                <w:sz w:val="20"/>
                <w:szCs w:val="20"/>
              </w:rPr>
              <w:t>snapshots</w:t>
            </w:r>
            <w:proofErr w:type="spellEnd"/>
            <w:r w:rsidRPr="00666835">
              <w:rPr>
                <w:rFonts w:cs="Tahoma"/>
                <w:sz w:val="20"/>
                <w:szCs w:val="20"/>
              </w:rPr>
              <w:t>. Debe permitir tomar copias múltiples de un volumen de producción con propiedades de ahorro de espacio, sin que se afecte el desempeño del volumen origen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Licenciamiento ilimitado y a perpetuidad con la posibilidad de tomar al menos 250 copias instantáneas del mismo volumen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 xml:space="preserve">Licenciamiento ilimitado y a perpetuidad de la </w:t>
            </w:r>
            <w:r w:rsidRPr="00666835">
              <w:rPr>
                <w:rFonts w:cs="Tahoma"/>
                <w:sz w:val="20"/>
                <w:szCs w:val="20"/>
              </w:rPr>
              <w:lastRenderedPageBreak/>
              <w:t xml:space="preserve">herramienta </w:t>
            </w:r>
            <w:proofErr w:type="spellStart"/>
            <w:r w:rsidRPr="00666835">
              <w:rPr>
                <w:rFonts w:cs="Tahoma"/>
                <w:sz w:val="20"/>
                <w:szCs w:val="20"/>
              </w:rPr>
              <w:t>Thin</w:t>
            </w:r>
            <w:proofErr w:type="spellEnd"/>
            <w:r w:rsidRPr="00666835">
              <w:rPr>
                <w:rFonts w:cs="Tahoma"/>
                <w:sz w:val="20"/>
                <w:szCs w:val="20"/>
              </w:rPr>
              <w:t xml:space="preserve"> </w:t>
            </w:r>
            <w:proofErr w:type="spellStart"/>
            <w:r w:rsidRPr="00666835">
              <w:rPr>
                <w:rFonts w:cs="Tahoma"/>
                <w:sz w:val="20"/>
                <w:szCs w:val="20"/>
              </w:rPr>
              <w:t>Provisioning</w:t>
            </w:r>
            <w:proofErr w:type="spellEnd"/>
            <w:r w:rsidRPr="00666835">
              <w:rPr>
                <w:rFonts w:cs="Tahoma"/>
                <w:sz w:val="20"/>
                <w:szCs w:val="20"/>
              </w:rPr>
              <w:t xml:space="preserve"> para aprovisionamiento eficiente en la asignación virtual del espacio en SAN.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Licenciamiento a perpetuidad para realizar la replicación de datos remota de forma sincrónica, utilizando enlaces de fibra o LAN/WAN.</w:t>
            </w:r>
          </w:p>
          <w:p w:rsidR="000F5C35" w:rsidRPr="00666835" w:rsidRDefault="000F5C35" w:rsidP="00F00EDD">
            <w:pPr>
              <w:pStyle w:val="Prrafodelista"/>
              <w:jc w:val="both"/>
              <w:rPr>
                <w:rFonts w:cs="Tahoma"/>
                <w:sz w:val="20"/>
                <w:szCs w:val="20"/>
              </w:rPr>
            </w:pPr>
            <w:r w:rsidRPr="00666835">
              <w:rPr>
                <w:rFonts w:cs="Tahoma"/>
                <w:sz w:val="20"/>
                <w:szCs w:val="20"/>
              </w:rPr>
              <w:t xml:space="preserve">La Universidad cuenta con un canal  dedicado </w:t>
            </w:r>
            <w:proofErr w:type="spellStart"/>
            <w:r w:rsidRPr="00666835">
              <w:rPr>
                <w:rFonts w:cs="Tahoma"/>
                <w:sz w:val="20"/>
                <w:szCs w:val="20"/>
              </w:rPr>
              <w:t>Layer</w:t>
            </w:r>
            <w:proofErr w:type="spellEnd"/>
            <w:r w:rsidRPr="00666835">
              <w:rPr>
                <w:rFonts w:cs="Tahoma"/>
                <w:sz w:val="20"/>
                <w:szCs w:val="20"/>
              </w:rPr>
              <w:t xml:space="preserve"> 2 de 80 Mbps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7"/>
          <w:jc w:val="center"/>
        </w:trPr>
        <w:tc>
          <w:tcPr>
            <w:tcW w:w="742" w:type="dxa"/>
            <w:shd w:val="clear" w:color="auto" w:fill="auto"/>
            <w:vAlign w:val="center"/>
          </w:tcPr>
          <w:p w:rsidR="000F5C35" w:rsidRPr="000358BD" w:rsidRDefault="000F5C3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lastRenderedPageBreak/>
              <w:t>23</w:t>
            </w:r>
          </w:p>
        </w:tc>
        <w:tc>
          <w:tcPr>
            <w:tcW w:w="2802" w:type="dxa"/>
            <w:shd w:val="clear" w:color="auto" w:fill="auto"/>
            <w:vAlign w:val="center"/>
          </w:tcPr>
          <w:p w:rsidR="000F5C35" w:rsidRPr="00666835" w:rsidRDefault="000F5C35" w:rsidP="00F00EDD">
            <w:pPr>
              <w:jc w:val="both"/>
              <w:rPr>
                <w:rFonts w:cs="Tahoma"/>
                <w:sz w:val="20"/>
                <w:szCs w:val="20"/>
              </w:rPr>
            </w:pPr>
            <w:r w:rsidRPr="00666835">
              <w:rPr>
                <w:rFonts w:cs="Tahoma"/>
                <w:sz w:val="20"/>
                <w:szCs w:val="20"/>
              </w:rPr>
              <w:t>Replicación</w:t>
            </w:r>
          </w:p>
        </w:tc>
        <w:tc>
          <w:tcPr>
            <w:tcW w:w="2883" w:type="dxa"/>
            <w:shd w:val="clear" w:color="auto" w:fill="auto"/>
            <w:vAlign w:val="center"/>
          </w:tcPr>
          <w:p w:rsidR="002B77C5" w:rsidRPr="002B77C5" w:rsidRDefault="002B77C5" w:rsidP="002B77C5">
            <w:pPr>
              <w:jc w:val="both"/>
              <w:rPr>
                <w:rFonts w:cs="Tahoma"/>
                <w:sz w:val="20"/>
                <w:szCs w:val="20"/>
              </w:rPr>
            </w:pPr>
            <w:r w:rsidRPr="002B77C5">
              <w:rPr>
                <w:rFonts w:cs="Tahoma"/>
                <w:sz w:val="20"/>
                <w:szCs w:val="20"/>
              </w:rPr>
              <w:t xml:space="preserve">La implementación del sistema de almacenamiento masivo debe realizar la replicación directa desde el cuarto de comunicaciones sede de LA UNIVERSIDAD “Aduanilla de </w:t>
            </w:r>
            <w:proofErr w:type="spellStart"/>
            <w:r w:rsidRPr="002B77C5">
              <w:rPr>
                <w:rFonts w:cs="Tahoma"/>
                <w:sz w:val="20"/>
                <w:szCs w:val="20"/>
              </w:rPr>
              <w:t>Paiba</w:t>
            </w:r>
            <w:proofErr w:type="spellEnd"/>
            <w:r w:rsidRPr="002B77C5">
              <w:rPr>
                <w:rFonts w:cs="Tahoma"/>
                <w:sz w:val="20"/>
                <w:szCs w:val="20"/>
              </w:rPr>
              <w:t xml:space="preserve">”  ubicado en Calle 13 No. 31-75, donde se encuentra instalado el sistema de almacenamiento SAN/NAS </w:t>
            </w:r>
            <w:proofErr w:type="spellStart"/>
            <w:r w:rsidRPr="002B77C5">
              <w:rPr>
                <w:rFonts w:cs="Tahoma"/>
                <w:sz w:val="20"/>
                <w:szCs w:val="20"/>
              </w:rPr>
              <w:t>NetApp</w:t>
            </w:r>
            <w:proofErr w:type="spellEnd"/>
            <w:r w:rsidRPr="002B77C5">
              <w:rPr>
                <w:rFonts w:cs="Tahoma"/>
                <w:sz w:val="20"/>
                <w:szCs w:val="20"/>
              </w:rPr>
              <w:t xml:space="preserve"> FAS3250, hacia el DATACENTER principal de LA UNIVERSIDAD, el cual está ubicado en la sede SABIO CALDAS ubicado en la Carrera 8 No. 40 – 62, Piso 4</w:t>
            </w:r>
          </w:p>
          <w:p w:rsidR="002B77C5" w:rsidRPr="002B77C5" w:rsidRDefault="002B77C5" w:rsidP="002B77C5">
            <w:pPr>
              <w:jc w:val="both"/>
              <w:rPr>
                <w:rFonts w:cs="Tahoma"/>
                <w:sz w:val="20"/>
                <w:szCs w:val="20"/>
              </w:rPr>
            </w:pPr>
            <w:r w:rsidRPr="002B77C5">
              <w:rPr>
                <w:rFonts w:cs="Tahoma"/>
                <w:sz w:val="20"/>
                <w:szCs w:val="20"/>
              </w:rPr>
              <w:t xml:space="preserve">El proceso de replicación debe ser de manera directa, sin incluir equipo adicional. </w:t>
            </w:r>
          </w:p>
          <w:p w:rsidR="002B77C5" w:rsidRPr="002B77C5" w:rsidRDefault="002B77C5" w:rsidP="002B77C5">
            <w:pPr>
              <w:jc w:val="both"/>
              <w:rPr>
                <w:rFonts w:cs="Tahoma"/>
                <w:sz w:val="20"/>
                <w:szCs w:val="20"/>
              </w:rPr>
            </w:pPr>
            <w:r w:rsidRPr="002B77C5">
              <w:rPr>
                <w:rFonts w:cs="Tahoma"/>
                <w:sz w:val="20"/>
                <w:szCs w:val="20"/>
              </w:rPr>
              <w:t xml:space="preserve">Si la solución ofertada no es compatible con la función de replicación, el proponente deberá entregar, instalar, configurar e implementar, sin costo adicional a LA UNIVERSIDAD, un equipo con iguales características que reemplace el sistema de almacenamiento SAN/NAS </w:t>
            </w:r>
            <w:proofErr w:type="spellStart"/>
            <w:r w:rsidRPr="002B77C5">
              <w:rPr>
                <w:rFonts w:cs="Tahoma"/>
                <w:sz w:val="20"/>
                <w:szCs w:val="20"/>
              </w:rPr>
              <w:t>NetApp</w:t>
            </w:r>
            <w:proofErr w:type="spellEnd"/>
            <w:r w:rsidRPr="002B77C5">
              <w:rPr>
                <w:rFonts w:cs="Tahoma"/>
                <w:sz w:val="20"/>
                <w:szCs w:val="20"/>
              </w:rPr>
              <w:t xml:space="preserve"> FAS3250, instalado en la sede Aduanilla </w:t>
            </w:r>
            <w:proofErr w:type="spellStart"/>
            <w:r w:rsidRPr="002B77C5">
              <w:rPr>
                <w:rFonts w:cs="Tahoma"/>
                <w:sz w:val="20"/>
                <w:szCs w:val="20"/>
              </w:rPr>
              <w:t>Paiba</w:t>
            </w:r>
            <w:proofErr w:type="spellEnd"/>
            <w:r w:rsidRPr="002B77C5">
              <w:rPr>
                <w:rFonts w:cs="Tahoma"/>
                <w:sz w:val="20"/>
                <w:szCs w:val="20"/>
              </w:rPr>
              <w:t xml:space="preserve">, el cual cuenta con las siguientes </w:t>
            </w:r>
            <w:r w:rsidRPr="002B77C5">
              <w:rPr>
                <w:rFonts w:cs="Tahoma"/>
                <w:sz w:val="20"/>
                <w:szCs w:val="20"/>
              </w:rPr>
              <w:lastRenderedPageBreak/>
              <w:t>especificaciones.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Dos controladoras Activo-Activo</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2 </w:t>
            </w:r>
            <w:proofErr w:type="spellStart"/>
            <w:r w:rsidRPr="002B77C5">
              <w:rPr>
                <w:rFonts w:cs="Tahoma"/>
                <w:sz w:val="20"/>
                <w:szCs w:val="20"/>
              </w:rPr>
              <w:t>Switches</w:t>
            </w:r>
            <w:proofErr w:type="spellEnd"/>
            <w:r w:rsidRPr="002B77C5">
              <w:rPr>
                <w:rFonts w:cs="Tahoma"/>
                <w:sz w:val="20"/>
                <w:szCs w:val="20"/>
              </w:rPr>
              <w:t xml:space="preserve"> </w:t>
            </w:r>
            <w:proofErr w:type="spellStart"/>
            <w:r w:rsidRPr="002B77C5">
              <w:rPr>
                <w:rFonts w:cs="Tahoma"/>
                <w:sz w:val="20"/>
                <w:szCs w:val="20"/>
              </w:rPr>
              <w:t>Brocade</w:t>
            </w:r>
            <w:proofErr w:type="spellEnd"/>
            <w:r w:rsidRPr="002B77C5">
              <w:rPr>
                <w:rFonts w:cs="Tahoma"/>
                <w:sz w:val="20"/>
                <w:szCs w:val="20"/>
              </w:rPr>
              <w:t xml:space="preserve"> 5300 SAN</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Espacio efectivo 420TB en discos SAS y SATA (40% SAS y 60%SATA)</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10 Bandejas de Discos SAS </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Discos SAS de 2.5” a 10000 RPM</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6 Bandejas de discos SATA.</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Discos SATA de 3.5” a 7200 RPM</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Capacidad de crecimiento</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720 Discos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4 </w:t>
            </w:r>
            <w:proofErr w:type="spellStart"/>
            <w:r w:rsidRPr="002B77C5">
              <w:rPr>
                <w:rFonts w:cs="Tahoma"/>
                <w:sz w:val="20"/>
                <w:szCs w:val="20"/>
              </w:rPr>
              <w:t>CPUs</w:t>
            </w:r>
            <w:proofErr w:type="spellEnd"/>
            <w:r w:rsidRPr="002B77C5">
              <w:rPr>
                <w:rFonts w:cs="Tahoma"/>
                <w:sz w:val="20"/>
                <w:szCs w:val="20"/>
              </w:rPr>
              <w:t xml:space="preserve"> con un total de 16 </w:t>
            </w:r>
            <w:proofErr w:type="spellStart"/>
            <w:r w:rsidRPr="002B77C5">
              <w:rPr>
                <w:rFonts w:cs="Tahoma"/>
                <w:sz w:val="20"/>
                <w:szCs w:val="20"/>
              </w:rPr>
              <w:t>cores</w:t>
            </w:r>
            <w:proofErr w:type="spellEnd"/>
            <w:r w:rsidRPr="002B77C5">
              <w:rPr>
                <w:rFonts w:cs="Tahoma"/>
                <w:sz w:val="20"/>
                <w:szCs w:val="20"/>
              </w:rPr>
              <w:t xml:space="preserve"> por par de controladoras </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12 puertos </w:t>
            </w:r>
            <w:proofErr w:type="spellStart"/>
            <w:r w:rsidRPr="002B77C5">
              <w:rPr>
                <w:rFonts w:cs="Tahoma"/>
                <w:sz w:val="20"/>
                <w:szCs w:val="20"/>
              </w:rPr>
              <w:t>GbE</w:t>
            </w:r>
            <w:proofErr w:type="spellEnd"/>
            <w:r w:rsidRPr="002B77C5">
              <w:rPr>
                <w:rFonts w:cs="Tahoma"/>
                <w:sz w:val="20"/>
                <w:szCs w:val="20"/>
              </w:rPr>
              <w:t xml:space="preserve"> por par de controladoras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8 puertos FC a 8Gbps por par de controladoras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1TB de cache flash por par de controladoras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Todo instalado en redundancia. (</w:t>
            </w:r>
            <w:proofErr w:type="spellStart"/>
            <w:r w:rsidRPr="002B77C5">
              <w:rPr>
                <w:rFonts w:cs="Tahoma"/>
                <w:sz w:val="20"/>
                <w:szCs w:val="20"/>
              </w:rPr>
              <w:t>Switches</w:t>
            </w:r>
            <w:proofErr w:type="spellEnd"/>
            <w:r w:rsidRPr="002B77C5">
              <w:rPr>
                <w:rFonts w:cs="Tahoma"/>
                <w:sz w:val="20"/>
                <w:szCs w:val="20"/>
              </w:rPr>
              <w:t xml:space="preserve"> SAN y LAN, PDU, Controladoras</w:t>
            </w:r>
          </w:p>
          <w:p w:rsidR="002B77C5" w:rsidRPr="002B77C5" w:rsidRDefault="002B77C5" w:rsidP="002B77C5">
            <w:pPr>
              <w:jc w:val="both"/>
              <w:rPr>
                <w:rFonts w:cs="Tahoma"/>
                <w:sz w:val="20"/>
                <w:szCs w:val="20"/>
              </w:rPr>
            </w:pPr>
          </w:p>
          <w:p w:rsidR="002B77C5" w:rsidRPr="002B77C5" w:rsidRDefault="002B77C5" w:rsidP="002B77C5">
            <w:pPr>
              <w:jc w:val="both"/>
              <w:rPr>
                <w:rFonts w:cs="Tahoma"/>
                <w:sz w:val="20"/>
                <w:szCs w:val="20"/>
              </w:rPr>
            </w:pPr>
            <w:r w:rsidRPr="002B77C5">
              <w:rPr>
                <w:rFonts w:cs="Tahoma"/>
                <w:sz w:val="20"/>
                <w:szCs w:val="20"/>
              </w:rPr>
              <w:t>El proponente también deberá realizar las siguientes actividades</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Instalar, configurar y entregar en correcto funcionamiento el equipo SAN/NAS en el cuarto de </w:t>
            </w:r>
            <w:r w:rsidRPr="002B77C5">
              <w:rPr>
                <w:rFonts w:cs="Tahoma"/>
                <w:sz w:val="20"/>
                <w:szCs w:val="20"/>
              </w:rPr>
              <w:lastRenderedPageBreak/>
              <w:t xml:space="preserve">comunicaciones de la sede Aduanilla </w:t>
            </w:r>
            <w:proofErr w:type="spellStart"/>
            <w:r w:rsidRPr="002B77C5">
              <w:rPr>
                <w:rFonts w:cs="Tahoma"/>
                <w:sz w:val="20"/>
                <w:szCs w:val="20"/>
              </w:rPr>
              <w:t>Paiba</w:t>
            </w:r>
            <w:proofErr w:type="spellEnd"/>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Realizar las instalaciones eléctricas requeridas para el correcto funcionamiento de la solución </w:t>
            </w:r>
          </w:p>
          <w:p w:rsidR="002B77C5" w:rsidRPr="002B77C5" w:rsidRDefault="002B77C5" w:rsidP="002B77C5">
            <w:pPr>
              <w:jc w:val="both"/>
              <w:rPr>
                <w:rFonts w:cs="Tahoma"/>
                <w:sz w:val="20"/>
                <w:szCs w:val="20"/>
              </w:rPr>
            </w:pPr>
            <w:r w:rsidRPr="002B77C5">
              <w:rPr>
                <w:rFonts w:cs="Tahoma"/>
                <w:sz w:val="20"/>
                <w:szCs w:val="20"/>
              </w:rPr>
              <w:t>•</w:t>
            </w:r>
            <w:r w:rsidRPr="002B77C5">
              <w:rPr>
                <w:rFonts w:cs="Tahoma"/>
                <w:sz w:val="20"/>
                <w:szCs w:val="20"/>
              </w:rPr>
              <w:tab/>
              <w:t xml:space="preserve">Migrar los datos y servicios que se encuentran configurados en la SAN/NAS </w:t>
            </w:r>
            <w:proofErr w:type="spellStart"/>
            <w:r w:rsidRPr="002B77C5">
              <w:rPr>
                <w:rFonts w:cs="Tahoma"/>
                <w:sz w:val="20"/>
                <w:szCs w:val="20"/>
              </w:rPr>
              <w:t>NetApp</w:t>
            </w:r>
            <w:proofErr w:type="spellEnd"/>
            <w:r w:rsidRPr="002B77C5">
              <w:rPr>
                <w:rFonts w:cs="Tahoma"/>
                <w:sz w:val="20"/>
                <w:szCs w:val="20"/>
              </w:rPr>
              <w:t xml:space="preserve"> FAS3250: Correo electrónico, Sistema Contable, Virtualización </w:t>
            </w:r>
            <w:proofErr w:type="spellStart"/>
            <w:r w:rsidRPr="002B77C5">
              <w:rPr>
                <w:rFonts w:cs="Tahoma"/>
                <w:sz w:val="20"/>
                <w:szCs w:val="20"/>
              </w:rPr>
              <w:t>XenDesktop</w:t>
            </w:r>
            <w:proofErr w:type="spellEnd"/>
            <w:r w:rsidRPr="002B77C5">
              <w:rPr>
                <w:rFonts w:cs="Tahoma"/>
                <w:sz w:val="20"/>
                <w:szCs w:val="20"/>
              </w:rPr>
              <w:t xml:space="preserve"> y </w:t>
            </w:r>
            <w:proofErr w:type="spellStart"/>
            <w:r w:rsidRPr="002B77C5">
              <w:rPr>
                <w:rFonts w:cs="Tahoma"/>
                <w:sz w:val="20"/>
                <w:szCs w:val="20"/>
              </w:rPr>
              <w:t>XenApp</w:t>
            </w:r>
            <w:proofErr w:type="spellEnd"/>
            <w:r w:rsidRPr="002B77C5">
              <w:rPr>
                <w:rFonts w:cs="Tahoma"/>
                <w:sz w:val="20"/>
                <w:szCs w:val="20"/>
              </w:rPr>
              <w:t xml:space="preserve">, </w:t>
            </w:r>
            <w:proofErr w:type="spellStart"/>
            <w:r w:rsidRPr="002B77C5">
              <w:rPr>
                <w:rFonts w:cs="Tahoma"/>
                <w:sz w:val="20"/>
                <w:szCs w:val="20"/>
              </w:rPr>
              <w:t>FileServer</w:t>
            </w:r>
            <w:proofErr w:type="spellEnd"/>
            <w:r w:rsidRPr="002B77C5">
              <w:rPr>
                <w:rFonts w:cs="Tahoma"/>
                <w:sz w:val="20"/>
                <w:szCs w:val="20"/>
              </w:rPr>
              <w:t>.</w:t>
            </w:r>
          </w:p>
          <w:p w:rsidR="000F5C35" w:rsidRPr="00666835" w:rsidRDefault="002B77C5" w:rsidP="002B77C5">
            <w:pPr>
              <w:jc w:val="both"/>
              <w:rPr>
                <w:rFonts w:cs="Tahoma"/>
                <w:sz w:val="20"/>
                <w:szCs w:val="20"/>
              </w:rPr>
            </w:pPr>
            <w:r w:rsidRPr="002B77C5">
              <w:rPr>
                <w:rFonts w:cs="Tahoma"/>
                <w:sz w:val="20"/>
                <w:szCs w:val="20"/>
              </w:rPr>
              <w:t>Replicación directa entre los equipos SAN ofertados.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30"/>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lastRenderedPageBreak/>
              <w:t>24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Cantidad de LUN soportadas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soportar mínimo 40 LUN.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14"/>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25</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Tamaño mínimo de LUN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debe permitir crear LUN mínimo de 4 TB</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14"/>
          <w:jc w:val="center"/>
        </w:trPr>
        <w:tc>
          <w:tcPr>
            <w:tcW w:w="742" w:type="dxa"/>
            <w:vMerge w:val="restart"/>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26</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Administración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El sistema debe soportar la administración con interfaz gráfica y por línea de comandos (CLI), utilizando protocolos seguros SSL y SSH.</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2"/>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Licenciamiento ilimitado y a perpetuidad para el software de administración.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94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Se debe incluir la licencia del Software que soporte la capacidad máxima de almacenamiento entregada con la administración propia de la solución, en el que se incluyan entre otras las siguientes funcionalidades: Administración de las LUN, seguridad de las LUN, Monitoreo y Generación de reportes.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3"/>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27</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Monitoreo: Sistema de notificación de estado e integridad de la solución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Licenciamiento ilimitado y a perpetuidad de Software de monitoreo y notificación automático del estado e integridad de los sistemas, que </w:t>
            </w:r>
            <w:r w:rsidRPr="00666835">
              <w:rPr>
                <w:rFonts w:cs="Tahoma"/>
                <w:sz w:val="20"/>
                <w:szCs w:val="20"/>
              </w:rPr>
              <w:lastRenderedPageBreak/>
              <w:t>describa la información suministrad   a al usuario sobre estado e integridad del sistema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82"/>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lastRenderedPageBreak/>
              <w:t>28</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Herramientas de Reporte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Licenciamiento ilimitado y a perpetuidad de software que monitoree el desempeño de la solución y genere reportes para la optimización la misma.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06"/>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29</w:t>
            </w:r>
          </w:p>
        </w:tc>
        <w:tc>
          <w:tcPr>
            <w:tcW w:w="2802" w:type="dxa"/>
            <w:shd w:val="clear" w:color="auto" w:fill="auto"/>
            <w:vAlign w:val="center"/>
            <w:hideMark/>
          </w:tcPr>
          <w:p w:rsidR="000F5C35" w:rsidRPr="00666835" w:rsidRDefault="000F5C35" w:rsidP="00F00EDD">
            <w:pPr>
              <w:rPr>
                <w:rFonts w:cs="Tahoma"/>
                <w:sz w:val="20"/>
                <w:szCs w:val="20"/>
              </w:rPr>
            </w:pPr>
            <w:r w:rsidRPr="00666835">
              <w:rPr>
                <w:rFonts w:cs="Tahoma"/>
                <w:sz w:val="20"/>
                <w:szCs w:val="20"/>
              </w:rPr>
              <w:t>Reporte automático de fallas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proporcionar el envío permanente de eventos de hardware o software que deben ser monitoreados y reparados (si es el caso) por el fabricante</w:t>
            </w:r>
          </w:p>
        </w:tc>
        <w:tc>
          <w:tcPr>
            <w:tcW w:w="2357" w:type="dxa"/>
          </w:tcPr>
          <w:p w:rsidR="000F5C35" w:rsidRPr="00666835" w:rsidRDefault="000F5C35" w:rsidP="00F00EDD">
            <w:pPr>
              <w:jc w:val="both"/>
              <w:rPr>
                <w:rFonts w:cs="Tahoma"/>
                <w:sz w:val="20"/>
                <w:szCs w:val="20"/>
              </w:rPr>
            </w:pPr>
          </w:p>
        </w:tc>
      </w:tr>
      <w:tr w:rsidR="000F5C35" w:rsidRPr="002B77C5" w:rsidTr="000F5C35">
        <w:trPr>
          <w:trHeight w:val="405"/>
          <w:jc w:val="center"/>
        </w:trPr>
        <w:tc>
          <w:tcPr>
            <w:tcW w:w="742" w:type="dxa"/>
            <w:vMerge w:val="restart"/>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30</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Plataformas que debe Soportar</w:t>
            </w:r>
          </w:p>
        </w:tc>
        <w:tc>
          <w:tcPr>
            <w:tcW w:w="2883" w:type="dxa"/>
            <w:shd w:val="clear" w:color="auto" w:fill="auto"/>
            <w:vAlign w:val="center"/>
            <w:hideMark/>
          </w:tcPr>
          <w:p w:rsidR="000F5C35" w:rsidRPr="00123242" w:rsidRDefault="000F5C35" w:rsidP="00F00EDD">
            <w:pPr>
              <w:jc w:val="both"/>
              <w:rPr>
                <w:rFonts w:cs="Tahoma"/>
                <w:sz w:val="20"/>
                <w:szCs w:val="20"/>
                <w:lang w:val="en-US"/>
              </w:rPr>
            </w:pPr>
            <w:r w:rsidRPr="00123242">
              <w:rPr>
                <w:rFonts w:cs="Tahoma"/>
                <w:sz w:val="20"/>
                <w:szCs w:val="20"/>
                <w:lang w:val="en-US"/>
              </w:rPr>
              <w:t>Como mínimo: Windows Server 2008, Windows Server 2012.</w:t>
            </w:r>
          </w:p>
        </w:tc>
        <w:tc>
          <w:tcPr>
            <w:tcW w:w="2357" w:type="dxa"/>
          </w:tcPr>
          <w:p w:rsidR="000F5C35" w:rsidRPr="00123242" w:rsidRDefault="000F5C35" w:rsidP="00F00EDD">
            <w:pPr>
              <w:jc w:val="both"/>
              <w:rPr>
                <w:rFonts w:cs="Tahoma"/>
                <w:sz w:val="20"/>
                <w:szCs w:val="20"/>
                <w:lang w:val="en-US"/>
              </w:rPr>
            </w:pPr>
          </w:p>
        </w:tc>
      </w:tr>
      <w:tr w:rsidR="000F5C35" w:rsidRPr="000358BD" w:rsidTr="000F5C35">
        <w:trPr>
          <w:trHeight w:val="552"/>
          <w:jc w:val="center"/>
        </w:trPr>
        <w:tc>
          <w:tcPr>
            <w:tcW w:w="742" w:type="dxa"/>
            <w:vMerge/>
            <w:vAlign w:val="center"/>
            <w:hideMark/>
          </w:tcPr>
          <w:p w:rsidR="000F5C35" w:rsidRPr="000358BD" w:rsidRDefault="000F5C35" w:rsidP="00F00EDD">
            <w:pPr>
              <w:rPr>
                <w:rFonts w:ascii="Arial Narrow" w:hAnsi="Arial Narrow"/>
                <w:color w:val="000000"/>
                <w:sz w:val="20"/>
                <w:szCs w:val="20"/>
                <w:lang w:val="en-US"/>
              </w:rPr>
            </w:pPr>
          </w:p>
        </w:tc>
        <w:tc>
          <w:tcPr>
            <w:tcW w:w="2802" w:type="dxa"/>
            <w:vMerge/>
            <w:vAlign w:val="center"/>
            <w:hideMark/>
          </w:tcPr>
          <w:p w:rsidR="000F5C35" w:rsidRPr="00123242" w:rsidRDefault="000F5C35" w:rsidP="00F00EDD">
            <w:pPr>
              <w:rPr>
                <w:rFonts w:cs="Tahoma"/>
                <w:sz w:val="20"/>
                <w:szCs w:val="20"/>
                <w:lang w:val="en-US"/>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Linux, ESX Server, </w:t>
            </w:r>
            <w:proofErr w:type="spellStart"/>
            <w:r w:rsidRPr="00666835">
              <w:rPr>
                <w:rFonts w:cs="Tahoma"/>
                <w:sz w:val="20"/>
                <w:szCs w:val="20"/>
              </w:rPr>
              <w:t>Xen</w:t>
            </w:r>
            <w:proofErr w:type="spellEnd"/>
            <w:r w:rsidRPr="00666835">
              <w:rPr>
                <w:rFonts w:cs="Tahoma"/>
                <w:sz w:val="20"/>
                <w:szCs w:val="20"/>
              </w:rPr>
              <w:t xml:space="preserve"> Server. Y para todas sus últimas versiones.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16"/>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Equipos de última generación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ofertada debe ser nueva, sin componentes </w:t>
            </w:r>
            <w:proofErr w:type="spellStart"/>
            <w:r w:rsidRPr="00666835">
              <w:rPr>
                <w:rFonts w:cs="Tahoma"/>
                <w:sz w:val="20"/>
                <w:szCs w:val="20"/>
              </w:rPr>
              <w:t>remanufacturados</w:t>
            </w:r>
            <w:proofErr w:type="spellEnd"/>
            <w:r w:rsidRPr="00666835">
              <w:rPr>
                <w:rFonts w:cs="Tahoma"/>
                <w:sz w:val="20"/>
                <w:szCs w:val="20"/>
              </w:rPr>
              <w:t>. No debe tener anuncio de fin de  venta mínimo en los siguientes tres años a partir de la fecha de adquisición.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129"/>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32</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Configuración y documentación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realizar la instalación, configuración, y puesta en producción de la solución; debe incluir la  configuración y entrega de la administración de la solución a la Universidad, documentación en medio </w:t>
            </w:r>
            <w:proofErr w:type="gramStart"/>
            <w:r w:rsidRPr="00666835">
              <w:rPr>
                <w:rFonts w:cs="Tahoma"/>
                <w:sz w:val="20"/>
                <w:szCs w:val="20"/>
              </w:rPr>
              <w:t>magnético</w:t>
            </w:r>
            <w:proofErr w:type="gramEnd"/>
            <w:r w:rsidRPr="00666835">
              <w:rPr>
                <w:rFonts w:cs="Tahoma"/>
                <w:sz w:val="20"/>
                <w:szCs w:val="20"/>
              </w:rPr>
              <w:t xml:space="preserve"> de cada uno de estos procesos.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vMerge w:val="restart"/>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33</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Garantía y soporte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Toda la solución ofertada debe contar con 3 años de garantía y soporte del fabricante, en modalidad 7X24x365. El tiempo máximo de respuesta y solución debe ser de 6 horas. </w:t>
            </w:r>
          </w:p>
          <w:p w:rsidR="000F5C35" w:rsidRPr="00666835" w:rsidRDefault="000F5C35" w:rsidP="00F00EDD">
            <w:pPr>
              <w:jc w:val="both"/>
              <w:rPr>
                <w:rFonts w:cs="Tahoma"/>
                <w:sz w:val="20"/>
                <w:szCs w:val="20"/>
              </w:rPr>
            </w:pPr>
            <w:r w:rsidRPr="00666835">
              <w:rPr>
                <w:rFonts w:cs="Tahoma"/>
                <w:sz w:val="20"/>
                <w:szCs w:val="20"/>
              </w:rPr>
              <w:t>Ver numeral 17. “Garantía de fábrica de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1"/>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El proponente deberá anexar junto con la propuesta certificación expedida por el fabricante donde conste la garantía de los equipos y software ofertado que componen la solución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3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La garantía debe cubrir actualizaciones de software, parches y </w:t>
            </w:r>
            <w:proofErr w:type="spellStart"/>
            <w:r w:rsidRPr="00666835">
              <w:rPr>
                <w:rFonts w:cs="Tahoma"/>
                <w:sz w:val="20"/>
                <w:szCs w:val="20"/>
              </w:rPr>
              <w:t>mcodes</w:t>
            </w:r>
            <w:proofErr w:type="spellEnd"/>
            <w:r w:rsidRPr="00666835">
              <w:rPr>
                <w:rFonts w:cs="Tahoma"/>
                <w:sz w:val="20"/>
                <w:szCs w:val="20"/>
              </w:rPr>
              <w:t xml:space="preserve"> los cuales deben ser aplicados por soporte técnico que deberá proveer el fabricante cuando sea requerido por la Universidad.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8"/>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La garantía comenzara a partir del momento en el cual la universidad reciba a satisfacción toda la solución ofertada.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22"/>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Distribuidor autorizado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 ser distribuidor autorizado por el fabricante del Hardware y Software ofrecido. Para lo cual debe Anexar la certificación expedida por el fabricante.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24"/>
          <w:jc w:val="center"/>
        </w:trPr>
        <w:tc>
          <w:tcPr>
            <w:tcW w:w="742" w:type="dxa"/>
            <w:shd w:val="clear" w:color="auto" w:fill="auto"/>
            <w:vAlign w:val="center"/>
            <w:hideMark/>
          </w:tcPr>
          <w:p w:rsidR="000F5C35" w:rsidRPr="000358BD" w:rsidRDefault="002B77C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t>35</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Retoma</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deberá establecer un valor para  la retoma de la HP SAN EVA 4000 relacionados en el numeral 7 “Retoma Sistema De Almacenamiento San Hp Eva 4000”</w:t>
            </w:r>
          </w:p>
        </w:tc>
        <w:tc>
          <w:tcPr>
            <w:tcW w:w="2357" w:type="dxa"/>
          </w:tcPr>
          <w:p w:rsidR="000F5C35" w:rsidRPr="00666835" w:rsidRDefault="000F5C35" w:rsidP="00F00EDD">
            <w:pPr>
              <w:jc w:val="both"/>
              <w:rPr>
                <w:rFonts w:cs="Tahoma"/>
                <w:sz w:val="20"/>
                <w:szCs w:val="20"/>
              </w:rPr>
            </w:pPr>
          </w:p>
        </w:tc>
      </w:tr>
    </w:tbl>
    <w:p w:rsidR="003052DA" w:rsidRPr="000F5C35" w:rsidRDefault="003052DA" w:rsidP="003052DA">
      <w:pPr>
        <w:suppressAutoHyphens/>
        <w:spacing w:after="0" w:line="240" w:lineRule="auto"/>
        <w:ind w:left="720"/>
        <w:jc w:val="both"/>
        <w:rPr>
          <w:rFonts w:cs="Tahoma"/>
          <w:sz w:val="20"/>
          <w:szCs w:val="20"/>
        </w:rPr>
      </w:pPr>
      <w:r w:rsidRPr="000F5C35">
        <w:rPr>
          <w:rFonts w:cs="Tahoma"/>
          <w:sz w:val="20"/>
          <w:szCs w:val="20"/>
        </w:rPr>
        <w:t>Tabla 2 Almacenamiento</w:t>
      </w:r>
    </w:p>
    <w:sectPr w:rsidR="003052DA" w:rsidRPr="000F5C35" w:rsidSect="0012324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98F"/>
    <w:multiLevelType w:val="hybridMultilevel"/>
    <w:tmpl w:val="AE686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956323"/>
    <w:multiLevelType w:val="hybridMultilevel"/>
    <w:tmpl w:val="DAE62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0730D1"/>
    <w:multiLevelType w:val="hybridMultilevel"/>
    <w:tmpl w:val="5D306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1D1056"/>
    <w:multiLevelType w:val="hybridMultilevel"/>
    <w:tmpl w:val="BC5A3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FF3BCE"/>
    <w:multiLevelType w:val="hybridMultilevel"/>
    <w:tmpl w:val="3850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BB1EC9"/>
    <w:multiLevelType w:val="hybridMultilevel"/>
    <w:tmpl w:val="79A2C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4B52F0C"/>
    <w:multiLevelType w:val="multilevel"/>
    <w:tmpl w:val="451C9B20"/>
    <w:lvl w:ilvl="0">
      <w:start w:val="4"/>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7">
    <w:nsid w:val="6D7E5C2A"/>
    <w:multiLevelType w:val="hybridMultilevel"/>
    <w:tmpl w:val="0ACA3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DA"/>
    <w:rsid w:val="000F5C35"/>
    <w:rsid w:val="00123242"/>
    <w:rsid w:val="002B77C5"/>
    <w:rsid w:val="003052DA"/>
    <w:rsid w:val="003A0B53"/>
    <w:rsid w:val="006C6CC9"/>
    <w:rsid w:val="00A02FB5"/>
    <w:rsid w:val="00A06416"/>
    <w:rsid w:val="00B43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2DA"/>
    <w:pPr>
      <w:ind w:left="720"/>
      <w:contextualSpacing/>
    </w:pPr>
  </w:style>
  <w:style w:type="paragraph" w:styleId="Textodeglobo">
    <w:name w:val="Balloon Text"/>
    <w:basedOn w:val="Normal"/>
    <w:link w:val="TextodegloboCar"/>
    <w:uiPriority w:val="99"/>
    <w:semiHidden/>
    <w:unhideWhenUsed/>
    <w:rsid w:val="001232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242"/>
    <w:rPr>
      <w:rFonts w:ascii="Segoe UI" w:hAnsi="Segoe UI" w:cs="Segoe UI"/>
      <w:sz w:val="18"/>
      <w:szCs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2DA"/>
    <w:pPr>
      <w:ind w:left="720"/>
      <w:contextualSpacing/>
    </w:pPr>
  </w:style>
  <w:style w:type="paragraph" w:styleId="Textodeglobo">
    <w:name w:val="Balloon Text"/>
    <w:basedOn w:val="Normal"/>
    <w:link w:val="TextodegloboCar"/>
    <w:uiPriority w:val="99"/>
    <w:semiHidden/>
    <w:unhideWhenUsed/>
    <w:rsid w:val="001232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242"/>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Guerrero</dc:creator>
  <cp:lastModifiedBy>df</cp:lastModifiedBy>
  <cp:revision>2</cp:revision>
  <cp:lastPrinted>2016-08-11T17:52:00Z</cp:lastPrinted>
  <dcterms:created xsi:type="dcterms:W3CDTF">2016-10-10T15:38:00Z</dcterms:created>
  <dcterms:modified xsi:type="dcterms:W3CDTF">2016-10-10T15:38:00Z</dcterms:modified>
</cp:coreProperties>
</file>