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ítulo"/>
        <w:tag w:val=""/>
        <w:id w:val="262268562"/>
        <w:placeholder>
          <w:docPart w:val="08CA7F1CDDC148EEA0AD6A7F075352E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A74B89D" w14:textId="09439BFF" w:rsidR="00CE6F1A" w:rsidRPr="00F735F5" w:rsidRDefault="00BC46D2" w:rsidP="00DE6C22">
          <w:pPr>
            <w:pStyle w:val="Ttulo"/>
          </w:pPr>
          <w:r w:rsidRPr="00F735F5">
            <w:t xml:space="preserve">Anexo I - </w:t>
          </w:r>
          <w:r w:rsidR="00EC03A1" w:rsidRPr="00F735F5">
            <w:t>Convocatoria T</w:t>
          </w:r>
          <w:r w:rsidR="0023678B" w:rsidRPr="00F735F5">
            <w:t xml:space="preserve">1 </w:t>
          </w:r>
          <w:r w:rsidR="00EC03A1" w:rsidRPr="00F735F5">
            <w:t>de 202</w:t>
          </w:r>
          <w:r w:rsidR="000130F8" w:rsidRPr="00F735F5">
            <w:t>6</w:t>
          </w:r>
          <w:r w:rsidR="00EC03A1" w:rsidRPr="00F735F5">
            <w:t>: Conformación de un banco de resultados de investigación con potencial de patentamiento de invención, de modelo de utilidad o registro de diseño industrial</w:t>
          </w:r>
        </w:p>
      </w:sdtContent>
    </w:sdt>
    <w:p w14:paraId="2ADB288B" w14:textId="77777777" w:rsidR="00CE6F1A" w:rsidRDefault="00CE6F1A" w:rsidP="00DE6C22">
      <w:pPr>
        <w:rPr>
          <w:lang w:val="es-CO" w:eastAsia="es-419"/>
        </w:rPr>
      </w:pPr>
    </w:p>
    <w:p w14:paraId="34B6825E" w14:textId="7545ED0F" w:rsidR="00EC03A1" w:rsidRDefault="0094141E" w:rsidP="00EC03A1">
      <w:pPr>
        <w:pStyle w:val="Ttulo1"/>
        <w:rPr>
          <w:lang w:val="es-CO"/>
        </w:rPr>
      </w:pPr>
      <w:r w:rsidRPr="0094141E">
        <w:rPr>
          <w:lang w:val="es-CO"/>
        </w:rPr>
        <w:t>Propiedad Intelectual</w:t>
      </w:r>
    </w:p>
    <w:p w14:paraId="078CED21" w14:textId="6A368121" w:rsidR="0094141E" w:rsidRPr="0094141E" w:rsidRDefault="0094141E" w:rsidP="0094141E">
      <w:pPr>
        <w:rPr>
          <w:lang w:val="es-CO" w:eastAsia="es-419"/>
        </w:rPr>
      </w:pPr>
      <w:r w:rsidRPr="0094141E">
        <w:rPr>
          <w:lang w:val="es-CO" w:eastAsia="es-419"/>
        </w:rPr>
        <w:t>La propiedad intelectual consiste en el reconocimiento de los creadores sobre su trabajo intelectual, otorgando protección a los avances tecnológicos, científicos, comerciales y culturales</w:t>
      </w:r>
      <w:r w:rsidR="0057231B">
        <w:rPr>
          <w:rStyle w:val="Refdenotaalpie"/>
          <w:lang w:val="es-CO" w:eastAsia="es-419"/>
        </w:rPr>
        <w:footnoteReference w:id="1"/>
      </w:r>
      <w:r w:rsidRPr="0094141E">
        <w:rPr>
          <w:lang w:val="es-CO" w:eastAsia="es-419"/>
        </w:rPr>
        <w:t>.</w:t>
      </w:r>
    </w:p>
    <w:p w14:paraId="4471B493" w14:textId="6C79E821" w:rsidR="0094141E" w:rsidRPr="0094141E" w:rsidRDefault="0094141E" w:rsidP="0094141E">
      <w:pPr>
        <w:rPr>
          <w:lang w:val="es-CO" w:eastAsia="es-419"/>
        </w:rPr>
      </w:pPr>
      <w:r w:rsidRPr="0094141E">
        <w:rPr>
          <w:lang w:val="es-CO" w:eastAsia="es-419"/>
        </w:rPr>
        <w:t>Por otro lado, la justificación de la propiedad intelectual se ubica en diversos mecanismos jurídicos que tienen por finalidad mantener un equilibrio entre los creadores y los usuarios de las creaciones intelectuales, para que el primero pueda obtener un reconocimiento social y económico, al tiempo que el segundo pueda tener acceso a tales creaciones</w:t>
      </w:r>
      <w:r w:rsidR="0057231B">
        <w:rPr>
          <w:rStyle w:val="Refdenotaalpie"/>
          <w:lang w:val="es-CO" w:eastAsia="es-419"/>
        </w:rPr>
        <w:footnoteReference w:id="2"/>
      </w:r>
      <w:r w:rsidRPr="0094141E">
        <w:rPr>
          <w:lang w:val="es-CO" w:eastAsia="es-419"/>
        </w:rPr>
        <w:t>.</w:t>
      </w:r>
    </w:p>
    <w:p w14:paraId="0F4088AD" w14:textId="59293DF9" w:rsidR="00EC03A1" w:rsidRDefault="0094141E" w:rsidP="0094141E">
      <w:pPr>
        <w:rPr>
          <w:lang w:val="es-CO" w:eastAsia="es-419"/>
        </w:rPr>
      </w:pPr>
      <w:r w:rsidRPr="0094141E">
        <w:rPr>
          <w:lang w:val="es-CO" w:eastAsia="es-419"/>
        </w:rPr>
        <w:t>A su turno, una clasificación tradicional de la propiedad intelectual consiste en dividirla en dos ramas importantes: el derecho de autor y la propiedad industrial. El derecho de autor, a su vez, se encarga de la protección de las obras literarias y artísticas, otorgándole a su creador diferentes derechos para poder controlar y obtener un reconocimiento social. Por otro lado, frente a la propiedad industrial desarrollaremos brevemente su alcance siendo el tema de la Convocatoria.</w:t>
      </w:r>
    </w:p>
    <w:p w14:paraId="186AA501" w14:textId="77777777" w:rsidR="00D3680B" w:rsidRDefault="00D3680B" w:rsidP="0094141E">
      <w:pPr>
        <w:rPr>
          <w:lang w:val="es-CO" w:eastAsia="es-419"/>
        </w:rPr>
      </w:pPr>
    </w:p>
    <w:p w14:paraId="76E2F5DD" w14:textId="4A67AFD5" w:rsidR="00EC03A1" w:rsidRPr="00D3680B" w:rsidRDefault="00A91618" w:rsidP="00D3680B">
      <w:pPr>
        <w:pStyle w:val="Ttulo1"/>
        <w:ind w:left="426"/>
        <w:rPr>
          <w:lang w:val="es-CO"/>
        </w:rPr>
      </w:pPr>
      <w:r w:rsidRPr="00D3680B">
        <w:rPr>
          <w:lang w:val="es-CO"/>
        </w:rPr>
        <w:t>Propiedad Industrial</w:t>
      </w:r>
    </w:p>
    <w:p w14:paraId="618BADF1" w14:textId="0565B005" w:rsidR="00A91618" w:rsidRDefault="00A91618" w:rsidP="00DE6C22">
      <w:pPr>
        <w:rPr>
          <w:lang w:val="es-CO" w:eastAsia="es-419"/>
        </w:rPr>
      </w:pPr>
      <w:r w:rsidRPr="00A91618">
        <w:rPr>
          <w:lang w:val="es-CO" w:eastAsia="es-419"/>
        </w:rPr>
        <w:t>La propiedad industrial se ocupa de la protección legal de productos o procesos que tengan aplicación industrial o comercial, que sean novedosos y que abarcan desde marcas y rótulos comerciales, diseños de ropa, formas de recipientes (…) hasta compuestos químicos de uso terapéutico, máquinas, motores o una bacteria que degrada hidrocarburos</w:t>
      </w:r>
      <w:r>
        <w:rPr>
          <w:rStyle w:val="Refdenotaalpie"/>
          <w:lang w:val="es-CO" w:eastAsia="es-419"/>
        </w:rPr>
        <w:footnoteReference w:id="3"/>
      </w:r>
      <w:r>
        <w:rPr>
          <w:lang w:val="es-CO" w:eastAsia="es-419"/>
        </w:rPr>
        <w:t>.</w:t>
      </w:r>
    </w:p>
    <w:p w14:paraId="0083F032" w14:textId="77777777" w:rsidR="00281B40" w:rsidRPr="00281B40" w:rsidRDefault="00281B40" w:rsidP="00281B40">
      <w:pPr>
        <w:rPr>
          <w:lang w:val="es-CO" w:eastAsia="es-419"/>
        </w:rPr>
      </w:pPr>
      <w:r w:rsidRPr="00281B40">
        <w:rPr>
          <w:lang w:val="es-CO" w:eastAsia="es-419"/>
        </w:rPr>
        <w:t>La propiedad industrial se divide a su turno en nuevas creaciones y signos distintivos. Las nuevas creaciones agrupan las patentes de invención, los modelos de utilidad, la protección de los circuitos integrados y los diseños industriales. Por su parte, los signos distintivos agrupan las marcas, los nombres o enseñas comerciales y las indicaciones geográficas.</w:t>
      </w:r>
    </w:p>
    <w:p w14:paraId="126A2EC1" w14:textId="60A25174" w:rsidR="00281B40" w:rsidRDefault="00281B40" w:rsidP="00281B40">
      <w:pPr>
        <w:rPr>
          <w:lang w:val="es-CO" w:eastAsia="es-419"/>
        </w:rPr>
      </w:pPr>
      <w:r w:rsidRPr="00281B40">
        <w:rPr>
          <w:lang w:val="es-CO" w:eastAsia="es-419"/>
        </w:rPr>
        <w:lastRenderedPageBreak/>
        <w:t>Las patentes de invención, los modelos de utilidad y los diseños industriales consistirán el alcance del Banco de Resultados de Investigación con Potencial de Patentamiento de invención, Modelo de Utilidad y registro de Diseño Industrial, para lo cual presentamos la denominación, su alance de protección, sus requisitos y su duración.</w:t>
      </w:r>
    </w:p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1222"/>
        <w:gridCol w:w="4728"/>
        <w:gridCol w:w="1448"/>
        <w:gridCol w:w="1430"/>
      </w:tblGrid>
      <w:tr w:rsidR="00281B40" w:rsidRPr="00A45457" w14:paraId="122F3963" w14:textId="77777777" w:rsidTr="00AE62B1">
        <w:trPr>
          <w:tblHeader/>
        </w:trPr>
        <w:tc>
          <w:tcPr>
            <w:tcW w:w="692" w:type="pct"/>
          </w:tcPr>
          <w:p w14:paraId="52DE50D7" w14:textId="7D0F5160" w:rsidR="00281B40" w:rsidRPr="00A45457" w:rsidRDefault="00281B40" w:rsidP="00EE024C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 w:rsidRPr="00A45457">
              <w:rPr>
                <w:b/>
                <w:sz w:val="20"/>
                <w:lang w:eastAsia="es-419"/>
              </w:rPr>
              <w:t>No</w:t>
            </w:r>
            <w:r w:rsidR="00F05987">
              <w:rPr>
                <w:b/>
                <w:sz w:val="20"/>
                <w:lang w:eastAsia="es-419"/>
              </w:rPr>
              <w:t>minación</w:t>
            </w:r>
          </w:p>
        </w:tc>
        <w:tc>
          <w:tcPr>
            <w:tcW w:w="2678" w:type="pct"/>
          </w:tcPr>
          <w:p w14:paraId="35D02372" w14:textId="5C3A38B9" w:rsidR="00281B40" w:rsidRPr="00A45457" w:rsidRDefault="00F05987" w:rsidP="00EE024C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Protección</w:t>
            </w:r>
          </w:p>
        </w:tc>
        <w:tc>
          <w:tcPr>
            <w:tcW w:w="820" w:type="pct"/>
          </w:tcPr>
          <w:p w14:paraId="0CEC9001" w14:textId="11AA5434" w:rsidR="00281B40" w:rsidRPr="00A45457" w:rsidRDefault="00F05987" w:rsidP="00EE024C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Requisitos</w:t>
            </w:r>
          </w:p>
        </w:tc>
        <w:tc>
          <w:tcPr>
            <w:tcW w:w="810" w:type="pct"/>
          </w:tcPr>
          <w:p w14:paraId="6A5D23B1" w14:textId="2FB871EB" w:rsidR="00281B40" w:rsidRPr="00A45457" w:rsidRDefault="00F05987" w:rsidP="00EE024C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Duración de la Protección</w:t>
            </w:r>
          </w:p>
        </w:tc>
      </w:tr>
      <w:tr w:rsidR="00281B40" w:rsidRPr="00A45457" w14:paraId="64F84193" w14:textId="77777777" w:rsidTr="00AE62B1">
        <w:tc>
          <w:tcPr>
            <w:tcW w:w="692" w:type="pct"/>
            <w:vAlign w:val="center"/>
          </w:tcPr>
          <w:p w14:paraId="38B936A6" w14:textId="1B767FA3" w:rsidR="00281B40" w:rsidRPr="00F05987" w:rsidRDefault="00AE62B1" w:rsidP="00F05987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Patente de Invención</w:t>
            </w:r>
          </w:p>
        </w:tc>
        <w:tc>
          <w:tcPr>
            <w:tcW w:w="2678" w:type="pct"/>
            <w:vAlign w:val="center"/>
          </w:tcPr>
          <w:p w14:paraId="380C1CF2" w14:textId="77777777" w:rsidR="00AE62B1" w:rsidRPr="00AE62B1" w:rsidRDefault="00AE62B1" w:rsidP="00AE62B1">
            <w:pPr>
              <w:spacing w:before="0"/>
              <w:jc w:val="left"/>
              <w:rPr>
                <w:sz w:val="20"/>
                <w:lang w:eastAsia="es-419"/>
              </w:rPr>
            </w:pPr>
            <w:r w:rsidRPr="00AE62B1">
              <w:rPr>
                <w:sz w:val="20"/>
                <w:lang w:eastAsia="es-419"/>
              </w:rPr>
              <w:t>La invención es una solución a un problema técnico.</w:t>
            </w:r>
          </w:p>
          <w:p w14:paraId="43BF5405" w14:textId="77777777" w:rsidR="00AE62B1" w:rsidRPr="00AE62B1" w:rsidRDefault="00AE62B1" w:rsidP="00AE62B1">
            <w:pPr>
              <w:spacing w:before="0"/>
              <w:jc w:val="left"/>
              <w:rPr>
                <w:sz w:val="20"/>
                <w:lang w:eastAsia="es-419"/>
              </w:rPr>
            </w:pPr>
            <w:r w:rsidRPr="00AE62B1">
              <w:rPr>
                <w:sz w:val="20"/>
                <w:lang w:eastAsia="es-419"/>
              </w:rPr>
              <w:t>En consecuencia, la patente de invención es el título de exclusividad que se otorga a un producto o un procedimiento.</w:t>
            </w:r>
          </w:p>
          <w:p w14:paraId="3472542C" w14:textId="1E071112" w:rsidR="00281B40" w:rsidRPr="00A45457" w:rsidRDefault="00AE62B1" w:rsidP="00AE62B1">
            <w:pPr>
              <w:spacing w:before="0"/>
              <w:jc w:val="left"/>
              <w:rPr>
                <w:sz w:val="20"/>
                <w:lang w:eastAsia="es-419"/>
              </w:rPr>
            </w:pPr>
            <w:r w:rsidRPr="00AE62B1">
              <w:rPr>
                <w:sz w:val="20"/>
                <w:lang w:eastAsia="es-419"/>
              </w:rPr>
              <w:t>Los Países de la Comunidad Andina de Naciones otorgan patentes para las invenciones, sean de producto o de procedimiento, en todos los campos de la tecnología, siempre que sean nuevas, tengan nivel inventivo y sean susceptibles de aplicación industrial (Artículo 14 Decisión Andina 486 de 2000)</w:t>
            </w:r>
          </w:p>
        </w:tc>
        <w:tc>
          <w:tcPr>
            <w:tcW w:w="820" w:type="pct"/>
            <w:vAlign w:val="center"/>
          </w:tcPr>
          <w:p w14:paraId="5283179C" w14:textId="77777777" w:rsidR="00281B40" w:rsidRDefault="007A4F4C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Novedad</w:t>
            </w:r>
          </w:p>
          <w:p w14:paraId="12A4916A" w14:textId="77777777" w:rsidR="007A4F4C" w:rsidRDefault="007A4F4C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Nivel inventivo</w:t>
            </w:r>
          </w:p>
          <w:p w14:paraId="2113FBF8" w14:textId="1310B6F8" w:rsidR="007A4F4C" w:rsidRPr="00A45457" w:rsidRDefault="007A4F4C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Aplicación industrial</w:t>
            </w:r>
          </w:p>
        </w:tc>
        <w:tc>
          <w:tcPr>
            <w:tcW w:w="810" w:type="pct"/>
            <w:vAlign w:val="center"/>
          </w:tcPr>
          <w:p w14:paraId="16B626B9" w14:textId="58510149" w:rsidR="00281B40" w:rsidRPr="00A45457" w:rsidRDefault="007A4F4C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20 años</w:t>
            </w:r>
          </w:p>
        </w:tc>
      </w:tr>
      <w:tr w:rsidR="00281B40" w:rsidRPr="00A45457" w14:paraId="02D18DBB" w14:textId="77777777" w:rsidTr="00AE62B1">
        <w:tc>
          <w:tcPr>
            <w:tcW w:w="692" w:type="pct"/>
            <w:vAlign w:val="center"/>
          </w:tcPr>
          <w:p w14:paraId="22F8915A" w14:textId="1BA3EF18" w:rsidR="00281B40" w:rsidRPr="00F05987" w:rsidRDefault="007A4F4C" w:rsidP="00F05987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Patente de modelo de utilidad</w:t>
            </w:r>
          </w:p>
        </w:tc>
        <w:tc>
          <w:tcPr>
            <w:tcW w:w="2678" w:type="pct"/>
            <w:vAlign w:val="center"/>
          </w:tcPr>
          <w:p w14:paraId="34ECE138" w14:textId="33BA8225" w:rsidR="00281B40" w:rsidRPr="007A4F4C" w:rsidRDefault="007A4F4C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 w:rsidRPr="007A4F4C">
              <w:rPr>
                <w:sz w:val="20"/>
                <w:lang w:val="es-CO" w:eastAsia="es-419"/>
              </w:rPr>
              <w:t>Se considera modelo de utilidad, a toda nueva forma, configuración o disposición de elementos, de algún artefacto, herramienta, instrumento, mecanismo u otro objeto o de alguna parte del mismo, que permita un mejor o diferente funcionamiento, utilización o fabricación del objeto que le incorpore o que le proporcione alguna utilidad, ventaja o efecto técnico que antes no tenía (Artículo 81 Decisión Andina 486 de 2000)</w:t>
            </w:r>
          </w:p>
        </w:tc>
        <w:tc>
          <w:tcPr>
            <w:tcW w:w="820" w:type="pct"/>
            <w:vAlign w:val="center"/>
          </w:tcPr>
          <w:p w14:paraId="20AE2D0D" w14:textId="77777777" w:rsidR="00281B40" w:rsidRDefault="002711FA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>
              <w:rPr>
                <w:sz w:val="20"/>
                <w:lang w:val="es-CO" w:eastAsia="es-419"/>
              </w:rPr>
              <w:t>Novedad</w:t>
            </w:r>
          </w:p>
          <w:p w14:paraId="78F4D87B" w14:textId="26A56DD7" w:rsidR="002711FA" w:rsidRPr="00694AC4" w:rsidRDefault="002711FA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>
              <w:rPr>
                <w:sz w:val="20"/>
                <w:lang w:val="es-CO" w:eastAsia="es-419"/>
              </w:rPr>
              <w:t>Aplicación Industrial</w:t>
            </w:r>
          </w:p>
        </w:tc>
        <w:tc>
          <w:tcPr>
            <w:tcW w:w="810" w:type="pct"/>
            <w:vAlign w:val="center"/>
          </w:tcPr>
          <w:p w14:paraId="6421E16A" w14:textId="4CEAE7C8" w:rsidR="00281B40" w:rsidRPr="00A45457" w:rsidRDefault="002711FA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10 años</w:t>
            </w:r>
          </w:p>
        </w:tc>
      </w:tr>
      <w:tr w:rsidR="00281B40" w:rsidRPr="00A45457" w14:paraId="0CB8FC94" w14:textId="77777777" w:rsidTr="00AE62B1">
        <w:tc>
          <w:tcPr>
            <w:tcW w:w="692" w:type="pct"/>
            <w:vAlign w:val="center"/>
          </w:tcPr>
          <w:p w14:paraId="3C36F9D4" w14:textId="66B652F0" w:rsidR="00281B40" w:rsidRPr="00F05987" w:rsidRDefault="002711FA" w:rsidP="00F05987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Diseño industrial</w:t>
            </w:r>
          </w:p>
        </w:tc>
        <w:tc>
          <w:tcPr>
            <w:tcW w:w="2678" w:type="pct"/>
            <w:vAlign w:val="center"/>
          </w:tcPr>
          <w:p w14:paraId="241B0B04" w14:textId="20E6DCB4" w:rsidR="002711FA" w:rsidRPr="002711FA" w:rsidRDefault="006D5C99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 w:rsidRPr="006D5C99">
              <w:rPr>
                <w:sz w:val="20"/>
                <w:lang w:val="es-CO" w:eastAsia="es-419"/>
              </w:rPr>
              <w:t>Se considerará como diseño industrial la apariencia particular de un producto que resulte de</w:t>
            </w:r>
            <w:r>
              <w:rPr>
                <w:sz w:val="20"/>
                <w:lang w:val="es-CO" w:eastAsia="es-419"/>
              </w:rPr>
              <w:t xml:space="preserve"> </w:t>
            </w:r>
            <w:r w:rsidR="002711FA" w:rsidRPr="002711FA">
              <w:rPr>
                <w:sz w:val="20"/>
                <w:lang w:val="es-CO" w:eastAsia="es-419"/>
              </w:rPr>
              <w:t>cualquier reunión de líneas o combinación de colores, o de cualquier forma externa bidimensional o tridimensional, línea, contorno, configuración, textura o material, sin que cambie el destino o finalidad de dicho producto (Artículo 113 Decisión Andina 486 de 2000)</w:t>
            </w:r>
          </w:p>
        </w:tc>
        <w:tc>
          <w:tcPr>
            <w:tcW w:w="820" w:type="pct"/>
            <w:vAlign w:val="center"/>
          </w:tcPr>
          <w:p w14:paraId="39F30854" w14:textId="77777777" w:rsidR="00281B40" w:rsidRDefault="006D5C99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>
              <w:rPr>
                <w:sz w:val="20"/>
                <w:lang w:val="es-CO" w:eastAsia="es-419"/>
              </w:rPr>
              <w:t>Novedoso</w:t>
            </w:r>
          </w:p>
          <w:p w14:paraId="56AD8A46" w14:textId="6FC41B5D" w:rsidR="006D5C99" w:rsidRPr="006D5C99" w:rsidRDefault="006D5C99" w:rsidP="00EE024C">
            <w:pPr>
              <w:spacing w:before="0"/>
              <w:jc w:val="left"/>
              <w:rPr>
                <w:sz w:val="20"/>
                <w:lang w:val="es-CO" w:eastAsia="es-419"/>
              </w:rPr>
            </w:pPr>
            <w:r w:rsidRPr="006D5C99">
              <w:rPr>
                <w:sz w:val="20"/>
                <w:lang w:val="es-CO" w:eastAsia="es-419"/>
              </w:rPr>
              <w:t>Y no debe presentar diferencias secundarias con respectos a diseños anteriores.</w:t>
            </w:r>
          </w:p>
        </w:tc>
        <w:tc>
          <w:tcPr>
            <w:tcW w:w="810" w:type="pct"/>
            <w:vAlign w:val="center"/>
          </w:tcPr>
          <w:p w14:paraId="5A9E79F1" w14:textId="54C0C3C5" w:rsidR="00281B40" w:rsidRPr="00A45457" w:rsidRDefault="006D5C99" w:rsidP="00EE024C">
            <w:pPr>
              <w:spacing w:before="0"/>
              <w:jc w:val="left"/>
              <w:rPr>
                <w:sz w:val="20"/>
                <w:lang w:eastAsia="es-419"/>
              </w:rPr>
            </w:pPr>
            <w:r>
              <w:rPr>
                <w:sz w:val="20"/>
                <w:lang w:eastAsia="es-419"/>
              </w:rPr>
              <w:t>10 años</w:t>
            </w:r>
          </w:p>
        </w:tc>
      </w:tr>
    </w:tbl>
    <w:p w14:paraId="0B1E250B" w14:textId="77777777" w:rsidR="00A91618" w:rsidRDefault="00A91618" w:rsidP="00DE6C22">
      <w:pPr>
        <w:rPr>
          <w:lang w:val="es-CO" w:eastAsia="es-419"/>
        </w:rPr>
      </w:pPr>
    </w:p>
    <w:p w14:paraId="5D40A1BF" w14:textId="77777777" w:rsidR="00D3680B" w:rsidRDefault="00D3680B" w:rsidP="00DE6C22">
      <w:pPr>
        <w:rPr>
          <w:lang w:val="es-CO" w:eastAsia="es-419"/>
        </w:rPr>
      </w:pPr>
    </w:p>
    <w:p w14:paraId="06DEFE6A" w14:textId="5457DAF7" w:rsidR="009E2182" w:rsidRDefault="009E2182" w:rsidP="009E2182">
      <w:pPr>
        <w:pStyle w:val="Ttulo1"/>
        <w:ind w:left="426"/>
        <w:rPr>
          <w:lang w:val="es-CO"/>
        </w:rPr>
      </w:pPr>
      <w:r w:rsidRPr="009E2182">
        <w:rPr>
          <w:lang w:val="es-CO"/>
        </w:rPr>
        <w:t>Objeto de Protección por Propiedad Industrial: Los resultados de Investigación</w:t>
      </w:r>
    </w:p>
    <w:p w14:paraId="5C5931CC" w14:textId="77777777" w:rsidR="009E2182" w:rsidRPr="009E2182" w:rsidRDefault="009E2182" w:rsidP="009E2182">
      <w:pPr>
        <w:rPr>
          <w:lang w:val="es-CO" w:eastAsia="es-419"/>
        </w:rPr>
      </w:pPr>
      <w:r w:rsidRPr="009E2182">
        <w:rPr>
          <w:lang w:val="es-CO" w:eastAsia="es-419"/>
        </w:rPr>
        <w:t>Un acercamiento a lo que puede estar protegido por el sistema de patentes de invención, modelo de utilidad y diseños industriales se evidencia en las actividades desarrolladas por los grupos de investigación que generan productos donde se involucra nuevo conocimiento, lo que involucra actividades en Ciencia, Tecnología e Innovación.</w:t>
      </w:r>
    </w:p>
    <w:p w14:paraId="64D859C4" w14:textId="77777777" w:rsidR="009E2182" w:rsidRPr="009E2182" w:rsidRDefault="009E2182" w:rsidP="009E2182">
      <w:pPr>
        <w:rPr>
          <w:lang w:val="es-CO" w:eastAsia="es-419"/>
        </w:rPr>
      </w:pPr>
      <w:r w:rsidRPr="009E2182">
        <w:rPr>
          <w:lang w:val="es-CO" w:eastAsia="es-419"/>
        </w:rPr>
        <w:t>En este sentido, el Ministerio de Ciencia, Tecnología e Innovación, desde el modelo de medición y reconocimiento de grupos e investigadores, plantea cuatro grandes tipos de resultados de las actividades investigativas que son:</w:t>
      </w:r>
    </w:p>
    <w:p w14:paraId="10EDCE4A" w14:textId="77777777" w:rsidR="002F6C91" w:rsidRDefault="009E2182" w:rsidP="009E2182">
      <w:pPr>
        <w:pStyle w:val="Prrafodelista"/>
        <w:numPr>
          <w:ilvl w:val="0"/>
          <w:numId w:val="9"/>
        </w:numPr>
        <w:rPr>
          <w:lang w:val="es-CO" w:eastAsia="es-419"/>
        </w:rPr>
      </w:pPr>
      <w:r w:rsidRPr="002F6C91">
        <w:rPr>
          <w:lang w:val="es-CO" w:eastAsia="es-419"/>
        </w:rPr>
        <w:lastRenderedPageBreak/>
        <w:t>Productos resultados de actividades de Generación de Nuevo Conocimiento.</w:t>
      </w:r>
    </w:p>
    <w:p w14:paraId="4B30EE6B" w14:textId="77777777" w:rsidR="002F6C91" w:rsidRDefault="009E2182" w:rsidP="009E2182">
      <w:pPr>
        <w:pStyle w:val="Prrafodelista"/>
        <w:numPr>
          <w:ilvl w:val="0"/>
          <w:numId w:val="9"/>
        </w:numPr>
        <w:rPr>
          <w:lang w:val="es-CO" w:eastAsia="es-419"/>
        </w:rPr>
      </w:pPr>
      <w:r w:rsidRPr="002F6C91">
        <w:rPr>
          <w:lang w:val="es-CO" w:eastAsia="es-419"/>
        </w:rPr>
        <w:t>Productos resultados de actividades de Desarrollo Tecnológico e Innovación.</w:t>
      </w:r>
    </w:p>
    <w:p w14:paraId="19DCA224" w14:textId="77777777" w:rsidR="002F6C91" w:rsidRDefault="009E2182" w:rsidP="009E2182">
      <w:pPr>
        <w:pStyle w:val="Prrafodelista"/>
        <w:numPr>
          <w:ilvl w:val="0"/>
          <w:numId w:val="9"/>
        </w:numPr>
        <w:rPr>
          <w:lang w:val="es-CO" w:eastAsia="es-419"/>
        </w:rPr>
      </w:pPr>
      <w:r w:rsidRPr="002F6C91">
        <w:rPr>
          <w:lang w:val="es-CO" w:eastAsia="es-419"/>
        </w:rPr>
        <w:t>Productos resultados de actividades de Apropiación Social del Conocimiento y Divulgación Pública de la Ciencia.</w:t>
      </w:r>
    </w:p>
    <w:p w14:paraId="2AD50DB5" w14:textId="53CDD007" w:rsidR="009E2182" w:rsidRPr="002F6C91" w:rsidRDefault="009E2182" w:rsidP="009E2182">
      <w:pPr>
        <w:pStyle w:val="Prrafodelista"/>
        <w:numPr>
          <w:ilvl w:val="0"/>
          <w:numId w:val="9"/>
        </w:numPr>
        <w:rPr>
          <w:lang w:val="es-CO" w:eastAsia="es-419"/>
        </w:rPr>
      </w:pPr>
      <w:r w:rsidRPr="002F6C91">
        <w:rPr>
          <w:lang w:val="es-CO" w:eastAsia="es-419"/>
        </w:rPr>
        <w:t>Productos de actividades relacionadas con la Formación de Recurso Humano en CTeI</w:t>
      </w:r>
      <w:r w:rsidR="002F6C91">
        <w:rPr>
          <w:rStyle w:val="Refdenotaalpie"/>
          <w:lang w:val="es-CO" w:eastAsia="es-419"/>
        </w:rPr>
        <w:footnoteReference w:id="4"/>
      </w:r>
      <w:r w:rsidRPr="002F6C91">
        <w:rPr>
          <w:lang w:val="es-CO" w:eastAsia="es-419"/>
        </w:rPr>
        <w:t>.</w:t>
      </w:r>
    </w:p>
    <w:p w14:paraId="4A7B9AFD" w14:textId="77777777" w:rsidR="009E2182" w:rsidRPr="009E2182" w:rsidRDefault="009E2182" w:rsidP="009E2182">
      <w:pPr>
        <w:rPr>
          <w:lang w:val="es-CO" w:eastAsia="es-419"/>
        </w:rPr>
      </w:pPr>
      <w:r w:rsidRPr="009E2182">
        <w:rPr>
          <w:lang w:val="es-CO" w:eastAsia="es-419"/>
        </w:rPr>
        <w:t>Por lo anterior, y aclarando que la categorización señalada de productos demuestra que los resultados de investigación van más allá de la generación de artículos y libros, la visión compartida en el Centro de Investigaciones y Desarrollo Científico –CIDC es que desde los resultados de investigación evidencia la importancia de adoptar un modelo interactivo para la generación de nuevo conocimiento y que los fines propios de la investigación pueden apuntar no sólo a la generación de nuevo conocimiento per se, sino también al desarrollo tecnológico y la innovación.</w:t>
      </w:r>
    </w:p>
    <w:p w14:paraId="1AE23DD7" w14:textId="77777777" w:rsidR="00296493" w:rsidRPr="00296493" w:rsidRDefault="009E2182" w:rsidP="00296493">
      <w:pPr>
        <w:rPr>
          <w:lang w:val="es-CO" w:eastAsia="es-419"/>
        </w:rPr>
      </w:pPr>
      <w:r w:rsidRPr="009E2182">
        <w:rPr>
          <w:lang w:val="es-CO" w:eastAsia="es-419"/>
        </w:rPr>
        <w:t>Así las cosas, el Centro de Investigaciones y Desarrollo Científico –CIDC, mediante la presente Convocatoria desea apuntar a incentivar la protección de la propiedad intelectual e integrar la promoción de generación de productos de desarrollo tecnológico como resultado de actividades</w:t>
      </w:r>
      <w:r w:rsidR="00296493">
        <w:rPr>
          <w:lang w:val="es-CO" w:eastAsia="es-419"/>
        </w:rPr>
        <w:t xml:space="preserve"> </w:t>
      </w:r>
      <w:r w:rsidR="00296493" w:rsidRPr="00296493">
        <w:rPr>
          <w:lang w:val="es-CO" w:eastAsia="es-419"/>
        </w:rPr>
        <w:t>de investigación.</w:t>
      </w:r>
    </w:p>
    <w:p w14:paraId="0E544B6D" w14:textId="77777777" w:rsidR="00281B40" w:rsidRDefault="00281B40" w:rsidP="00DE6C22">
      <w:pPr>
        <w:rPr>
          <w:lang w:val="es-CO" w:eastAsia="es-419"/>
        </w:rPr>
      </w:pPr>
    </w:p>
    <w:p w14:paraId="24EA91C9" w14:textId="6C4EFE33" w:rsidR="00EC03A1" w:rsidRDefault="00693BD9" w:rsidP="00EC03A1">
      <w:pPr>
        <w:pStyle w:val="Ttulo1"/>
        <w:rPr>
          <w:lang w:val="es-CO"/>
        </w:rPr>
      </w:pPr>
      <w:r>
        <w:rPr>
          <w:lang w:val="es-CO"/>
        </w:rPr>
        <w:t>Definiciones</w:t>
      </w:r>
    </w:p>
    <w:p w14:paraId="5C491376" w14:textId="5F52A352" w:rsidR="00296493" w:rsidRPr="00296493" w:rsidRDefault="00296493" w:rsidP="00296493">
      <w:pPr>
        <w:rPr>
          <w:b/>
          <w:bCs/>
          <w:i/>
          <w:iCs/>
          <w:lang w:val="es-CO" w:eastAsia="es-419"/>
        </w:rPr>
      </w:pPr>
      <w:r w:rsidRPr="00296493">
        <w:rPr>
          <w:b/>
          <w:bCs/>
          <w:i/>
          <w:iCs/>
          <w:lang w:val="es-CO" w:eastAsia="es-419"/>
        </w:rPr>
        <w:t xml:space="preserve">Tecnología: </w:t>
      </w:r>
      <w:r w:rsidRPr="00296493">
        <w:rPr>
          <w:lang w:val="es-CO" w:eastAsia="es-419"/>
        </w:rPr>
        <w:t>Desde una perspectiva científica, la tecnología es un conjunto de conocimientos e información propios de una actividad, que pueden ser utilizados en forma sistemática para el diseño, desarrollo, fabricación y comercialización de productos o la prestación de servicios, incluyendo la aplicación adecuada de las técnicas asociadas a la gestión global</w:t>
      </w:r>
      <w:r w:rsidR="00AB1ACE">
        <w:rPr>
          <w:rStyle w:val="Refdenotaalpie"/>
          <w:lang w:val="es-CO" w:eastAsia="es-419"/>
        </w:rPr>
        <w:footnoteReference w:id="5"/>
      </w:r>
      <w:r w:rsidRPr="00296493">
        <w:rPr>
          <w:lang w:val="es-CO" w:eastAsia="es-419"/>
        </w:rPr>
        <w:t>.</w:t>
      </w:r>
    </w:p>
    <w:p w14:paraId="7A7C7BB1" w14:textId="3F5CE1EB" w:rsidR="00296493" w:rsidRPr="00296493" w:rsidRDefault="00296493" w:rsidP="00296493">
      <w:pPr>
        <w:rPr>
          <w:lang w:val="es-CO" w:eastAsia="es-419"/>
        </w:rPr>
      </w:pPr>
      <w:r w:rsidRPr="00296493">
        <w:rPr>
          <w:b/>
          <w:bCs/>
          <w:i/>
          <w:iCs/>
          <w:lang w:val="es-CO" w:eastAsia="es-419"/>
        </w:rPr>
        <w:t>Vigilancia Tecnológica:</w:t>
      </w:r>
      <w:r w:rsidRPr="00296493">
        <w:rPr>
          <w:lang w:val="es-CO" w:eastAsia="es-419"/>
        </w:rPr>
        <w:t xml:space="preserve"> es la búsqueda y recopilación organizada, selectiva y permanente de información de carácter tecnológico, para analizarla y convertirla en conocimiento, permitiendo anticiparse a los cambios y disminuyendo el riesgo en la toma de decisiones.</w:t>
      </w:r>
    </w:p>
    <w:p w14:paraId="4DF49553" w14:textId="3293E3CF" w:rsidR="000230B4" w:rsidRPr="00296493" w:rsidRDefault="00296493" w:rsidP="00296493">
      <w:pPr>
        <w:rPr>
          <w:lang w:val="es-CO"/>
        </w:rPr>
      </w:pPr>
      <w:r w:rsidRPr="009E024B">
        <w:rPr>
          <w:b/>
          <w:bCs/>
          <w:i/>
          <w:iCs/>
          <w:lang w:val="es-CO" w:eastAsia="es-419"/>
        </w:rPr>
        <w:t>Base de datos de patentes:</w:t>
      </w:r>
      <w:r w:rsidRPr="00296493">
        <w:rPr>
          <w:lang w:val="es-CO" w:eastAsia="es-419"/>
        </w:rPr>
        <w:t xml:space="preserve"> Existe un grupo de oficinas de patentes y propiedad intelectual en el mundo, que se encargan de llevar a cabo la tramitación de patentes nacionales y, por lo general, de proveer a la comunidad de registros referentes a las solicitudes de patentes realizadas, al menos en el territorio nacional, clasificadas de acuerdo </w:t>
      </w:r>
      <w:r w:rsidR="009E024B">
        <w:rPr>
          <w:lang w:val="es-CO" w:eastAsia="es-419"/>
        </w:rPr>
        <w:t>con</w:t>
      </w:r>
      <w:r w:rsidRPr="00296493">
        <w:rPr>
          <w:lang w:val="es-CO" w:eastAsia="es-419"/>
        </w:rPr>
        <w:t xml:space="preserve"> una serie de parámetros técnicos.</w:t>
      </w:r>
    </w:p>
    <w:p w14:paraId="2836F516" w14:textId="60097099" w:rsidR="00CE6F1A" w:rsidRPr="00CE6F1A" w:rsidRDefault="000230B4" w:rsidP="00DE6C22">
      <w:r>
        <w:t>(Fin del documento)</w:t>
      </w:r>
    </w:p>
    <w:sectPr w:rsidR="00CE6F1A" w:rsidRPr="00CE6F1A" w:rsidSect="007C66E0">
      <w:headerReference w:type="default" r:id="rId11"/>
      <w:footerReference w:type="defaul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6C39" w14:textId="77777777" w:rsidR="00BF3A34" w:rsidRDefault="00BF3A34" w:rsidP="00DE6C22">
      <w:r>
        <w:separator/>
      </w:r>
    </w:p>
  </w:endnote>
  <w:endnote w:type="continuationSeparator" w:id="0">
    <w:p w14:paraId="122A8E1B" w14:textId="77777777" w:rsidR="00BF3A34" w:rsidRDefault="00BF3A34" w:rsidP="00D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29327809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20"/>
                <w:szCs w:val="20"/>
              </w:rPr>
              <w:alias w:val="Título"/>
              <w:tag w:val=""/>
              <w:id w:val="-25058495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34D23E68" w14:textId="6106513D" w:rsidR="00E60707" w:rsidRDefault="00641852" w:rsidP="00E60707">
                <w:pPr>
                  <w:pStyle w:val="Piedepgina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Anexo I - Convocatoria T1 de 2026: Conformación de un banco de resultados de investigación con potencial de patentamiento de invención, de modelo de utilidad o registro de diseño industrial</w:t>
                </w:r>
              </w:p>
            </w:sdtContent>
          </w:sdt>
          <w:p w14:paraId="00B0E91D" w14:textId="77777777" w:rsidR="00E60707" w:rsidRPr="00E60707" w:rsidRDefault="00E60707">
            <w:pPr>
              <w:pStyle w:val="Piedepgina"/>
              <w:jc w:val="center"/>
              <w:rPr>
                <w:sz w:val="20"/>
                <w:szCs w:val="20"/>
              </w:rPr>
            </w:pPr>
            <w:r w:rsidRPr="00E60707">
              <w:rPr>
                <w:sz w:val="20"/>
                <w:szCs w:val="20"/>
                <w:lang w:val="es-ES"/>
              </w:rPr>
              <w:t xml:space="preserve">Página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PAGE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="00641852">
              <w:rPr>
                <w:b/>
                <w:bCs/>
                <w:noProof/>
                <w:sz w:val="20"/>
                <w:szCs w:val="20"/>
              </w:rPr>
              <w:t>1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  <w:r w:rsidRPr="00E60707">
              <w:rPr>
                <w:sz w:val="20"/>
                <w:szCs w:val="20"/>
                <w:lang w:val="es-ES"/>
              </w:rPr>
              <w:t xml:space="preserve"> de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NUMPAGES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="00641852">
              <w:rPr>
                <w:b/>
                <w:bCs/>
                <w:noProof/>
                <w:sz w:val="20"/>
                <w:szCs w:val="20"/>
              </w:rPr>
              <w:t>3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F697" w14:textId="77777777" w:rsidR="00BF3A34" w:rsidRDefault="00BF3A34" w:rsidP="00DE6C22">
      <w:r>
        <w:separator/>
      </w:r>
    </w:p>
  </w:footnote>
  <w:footnote w:type="continuationSeparator" w:id="0">
    <w:p w14:paraId="09161A7F" w14:textId="77777777" w:rsidR="00BF3A34" w:rsidRDefault="00BF3A34" w:rsidP="00DE6C22">
      <w:r>
        <w:continuationSeparator/>
      </w:r>
    </w:p>
  </w:footnote>
  <w:footnote w:id="1">
    <w:p w14:paraId="4804C526" w14:textId="590D7C2A" w:rsidR="0057231B" w:rsidRDefault="0057231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7231B">
        <w:t>Propiedad Intelectual, El moderno Derecho de Autor, Ernesto Rengifo García, Universidad Externado de Colombia, pag 23</w:t>
      </w:r>
    </w:p>
  </w:footnote>
  <w:footnote w:id="2">
    <w:p w14:paraId="1BCB2EE1" w14:textId="65D7BAB0" w:rsidR="0057231B" w:rsidRDefault="0057231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7231B">
        <w:t>Asuntos judiciales: Derechos de autor y derechos conexos y su aplicación digital, Juan Carlos Serna, Bayron Prieto, USAID, pag 5</w:t>
      </w:r>
    </w:p>
  </w:footnote>
  <w:footnote w:id="3">
    <w:p w14:paraId="0B1858E8" w14:textId="5F9D251C" w:rsidR="00A91618" w:rsidRDefault="00A91618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91618">
        <w:t>Manual sobre la Propiedad Intelectual de productos derivados de la actividad académica en universidades y centros de investigación, Propiedad Industrial, Fabio Chaparro, Claudia Vacca, Alix Céspedes de Vergel, Universidad Nacional de Colombia- COLCIENCIAS, pag 65</w:t>
      </w:r>
    </w:p>
  </w:footnote>
  <w:footnote w:id="4">
    <w:p w14:paraId="19B2726A" w14:textId="5F38A52F" w:rsidR="002F6C91" w:rsidRDefault="002F6C9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2F6C91">
        <w:t>Anexo 1 Convocatoria Nacional para el Reconocimiento y Medición de Grupos de Investigación, desarrollo tecnológico o de innovación y para el reconocimiento de investigadores del sistema nacional de ciencia, tecnología e innovación – 2021, Ministerio de Ciencia, Tecnología e Innovación, página 56</w:t>
      </w:r>
    </w:p>
  </w:footnote>
  <w:footnote w:id="5">
    <w:p w14:paraId="00506246" w14:textId="00F26736" w:rsidR="00AB1ACE" w:rsidRDefault="00AB1AC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AB1ACE">
        <w:t>Taller Internacional sobre administración y Comercialización de Invenciones y tecnología, OMPI, IMPI, México, ITESM, Monterrey México, 17 a 19 de abril de 2002, Contrato de Licencia de tecnologías creadas por programas Universitarios de Investigación.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A988" w14:textId="3965A9A4" w:rsidR="00CE6F1A" w:rsidRDefault="00EC03A1" w:rsidP="00DE6C22">
    <w:r w:rsidRPr="00C1100A">
      <w:rPr>
        <w:noProof/>
        <w:lang w:val="es-CO" w:eastAsia="es-CO"/>
      </w:rPr>
      <w:drawing>
        <wp:anchor distT="0" distB="0" distL="114300" distR="114300" simplePos="0" relativeHeight="251662336" behindDoc="0" locked="0" layoutInCell="1" allowOverlap="1" wp14:anchorId="105779C6" wp14:editId="0972F957">
          <wp:simplePos x="0" y="0"/>
          <wp:positionH relativeFrom="margin">
            <wp:align>right</wp:align>
          </wp:positionH>
          <wp:positionV relativeFrom="paragraph">
            <wp:posOffset>-95703</wp:posOffset>
          </wp:positionV>
          <wp:extent cx="2089723" cy="702129"/>
          <wp:effectExtent l="0" t="0" r="0" b="3175"/>
          <wp:wrapNone/>
          <wp:docPr id="2037280394" name="Imagen 2037280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-Final-Otri-1 horizontal transparen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23" cy="702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F1A">
      <w:rPr>
        <w:b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803778F" wp14:editId="36762109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2945080" cy="961390"/>
          <wp:effectExtent l="0" t="0" r="825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08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B7A7BD" w14:textId="5845E08B" w:rsidR="00CE6F1A" w:rsidRDefault="00CE6F1A" w:rsidP="00DE6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792"/>
    <w:multiLevelType w:val="multilevel"/>
    <w:tmpl w:val="872877B2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B801ED"/>
    <w:multiLevelType w:val="hybridMultilevel"/>
    <w:tmpl w:val="376E0574"/>
    <w:lvl w:ilvl="0" w:tplc="106C5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D5D8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695897"/>
    <w:multiLevelType w:val="hybridMultilevel"/>
    <w:tmpl w:val="B6C8C0EC"/>
    <w:lvl w:ilvl="0" w:tplc="282EEAA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mbria Math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F6EEE"/>
    <w:multiLevelType w:val="hybridMultilevel"/>
    <w:tmpl w:val="EDB8571C"/>
    <w:lvl w:ilvl="0" w:tplc="106C5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E7C40"/>
    <w:multiLevelType w:val="hybridMultilevel"/>
    <w:tmpl w:val="53EE62EE"/>
    <w:lvl w:ilvl="0" w:tplc="106C5EE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A1"/>
    <w:rsid w:val="000130F8"/>
    <w:rsid w:val="000230B4"/>
    <w:rsid w:val="00142BE6"/>
    <w:rsid w:val="0023678B"/>
    <w:rsid w:val="002711FA"/>
    <w:rsid w:val="00281B40"/>
    <w:rsid w:val="00296493"/>
    <w:rsid w:val="002F6C91"/>
    <w:rsid w:val="003638E7"/>
    <w:rsid w:val="0042179A"/>
    <w:rsid w:val="004E5735"/>
    <w:rsid w:val="0057231B"/>
    <w:rsid w:val="0060460E"/>
    <w:rsid w:val="00641852"/>
    <w:rsid w:val="00693BD9"/>
    <w:rsid w:val="00694AC4"/>
    <w:rsid w:val="006D3DA4"/>
    <w:rsid w:val="006D5C99"/>
    <w:rsid w:val="00723FB2"/>
    <w:rsid w:val="007A4F4C"/>
    <w:rsid w:val="007C66E0"/>
    <w:rsid w:val="008F1C67"/>
    <w:rsid w:val="0094141E"/>
    <w:rsid w:val="009E024B"/>
    <w:rsid w:val="009E2182"/>
    <w:rsid w:val="00A45457"/>
    <w:rsid w:val="00A91618"/>
    <w:rsid w:val="00AB1ACE"/>
    <w:rsid w:val="00AE62B1"/>
    <w:rsid w:val="00B91BBD"/>
    <w:rsid w:val="00BC46D2"/>
    <w:rsid w:val="00BD4806"/>
    <w:rsid w:val="00BF3A34"/>
    <w:rsid w:val="00C416AB"/>
    <w:rsid w:val="00CE6F1A"/>
    <w:rsid w:val="00D3680B"/>
    <w:rsid w:val="00DE6C22"/>
    <w:rsid w:val="00E60707"/>
    <w:rsid w:val="00EC03A1"/>
    <w:rsid w:val="00F05987"/>
    <w:rsid w:val="00F55870"/>
    <w:rsid w:val="00F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1B39"/>
  <w15:chartTrackingRefBased/>
  <w15:docId w15:val="{B848EDD8-CC34-4D77-B01B-8D94CBD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40"/>
    <w:pPr>
      <w:spacing w:before="120"/>
      <w:jc w:val="both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F55870"/>
    <w:pPr>
      <w:keepNext/>
      <w:keepLines/>
      <w:numPr>
        <w:numId w:val="1"/>
      </w:numPr>
      <w:pBdr>
        <w:top w:val="single" w:sz="4" w:space="1" w:color="6C0000"/>
        <w:left w:val="single" w:sz="4" w:space="4" w:color="6C0000"/>
        <w:bottom w:val="single" w:sz="4" w:space="1" w:color="6C0000"/>
        <w:right w:val="single" w:sz="4" w:space="4" w:color="6C0000"/>
      </w:pBdr>
      <w:spacing w:after="0" w:line="276" w:lineRule="auto"/>
      <w:contextualSpacing/>
      <w:jc w:val="center"/>
      <w:outlineLvl w:val="0"/>
    </w:pPr>
    <w:rPr>
      <w:rFonts w:ascii="Calibri" w:eastAsia="Calibri" w:hAnsi="Calibri" w:cs="Calibri"/>
      <w:b/>
      <w:sz w:val="24"/>
      <w:szCs w:val="48"/>
      <w:lang w:eastAsia="es-4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0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/>
      <w:sz w:val="24"/>
      <w:szCs w:val="26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F1A"/>
  </w:style>
  <w:style w:type="paragraph" w:styleId="Piedepgina">
    <w:name w:val="footer"/>
    <w:basedOn w:val="Normal"/>
    <w:link w:val="Piedepgina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F1A"/>
  </w:style>
  <w:style w:type="character" w:customStyle="1" w:styleId="Ttulo1Car">
    <w:name w:val="Título 1 Car"/>
    <w:basedOn w:val="Fuentedeprrafopredeter"/>
    <w:link w:val="Ttulo1"/>
    <w:uiPriority w:val="9"/>
    <w:rsid w:val="00F55870"/>
    <w:rPr>
      <w:rFonts w:ascii="Calibri" w:eastAsia="Calibri" w:hAnsi="Calibri" w:cs="Calibri"/>
      <w:b/>
      <w:sz w:val="24"/>
      <w:szCs w:val="48"/>
      <w:lang w:val="es-MX" w:eastAsia="es-419"/>
    </w:rPr>
  </w:style>
  <w:style w:type="paragraph" w:styleId="Ttulo">
    <w:name w:val="Title"/>
    <w:basedOn w:val="Ttulo1"/>
    <w:next w:val="Normal"/>
    <w:link w:val="TtuloCar"/>
    <w:uiPriority w:val="10"/>
    <w:qFormat/>
    <w:rsid w:val="00F55870"/>
    <w:pPr>
      <w:numPr>
        <w:numId w:val="0"/>
      </w:numPr>
      <w:ind w:left="66"/>
    </w:pPr>
    <w:rPr>
      <w:caps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F55870"/>
    <w:rPr>
      <w:rFonts w:ascii="Calibri" w:eastAsia="Calibri" w:hAnsi="Calibri" w:cs="Calibri"/>
      <w:b/>
      <w:caps/>
      <w:sz w:val="24"/>
      <w:szCs w:val="24"/>
      <w:lang w:val="es-MX" w:eastAsia="es-419"/>
    </w:rPr>
  </w:style>
  <w:style w:type="character" w:styleId="nfasissutil">
    <w:name w:val="Subtle Emphasis"/>
    <w:basedOn w:val="Fuentedeprrafopredeter"/>
    <w:uiPriority w:val="19"/>
    <w:qFormat/>
    <w:rsid w:val="00CE6F1A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CE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60707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03A1"/>
    <w:rPr>
      <w:rFonts w:asciiTheme="majorHAnsi" w:eastAsiaTheme="majorEastAsia" w:hAnsiTheme="majorHAnsi" w:cstheme="majorBidi"/>
      <w:b/>
      <w:i/>
      <w:sz w:val="24"/>
      <w:szCs w:val="26"/>
      <w:lang w:val="es-MX" w:eastAsia="es-419"/>
    </w:rPr>
  </w:style>
  <w:style w:type="paragraph" w:styleId="Prrafodelista">
    <w:name w:val="List Paragraph"/>
    <w:basedOn w:val="Normal"/>
    <w:uiPriority w:val="34"/>
    <w:qFormat/>
    <w:rsid w:val="00A4545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C03A1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03A1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EC03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94AC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4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.Romero\UDFJC\OneDrive%20-%20Universidad%20Distrital%20Francisco%20Jos&#233;%20de%20Caldas\OTRI-2023\Requerimientos%20atendidos\En%202023\Revisi&#243;n%20TDR-Conv2024\Plantilla%20Convocatori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CA7F1CDDC148EEA0AD6A7F0753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AD4D-BC7C-4A77-9A24-3E7843CD7052}"/>
      </w:docPartPr>
      <w:docPartBody>
        <w:p w:rsidR="00AC2512" w:rsidRDefault="00AC2512">
          <w:pPr>
            <w:pStyle w:val="08CA7F1CDDC148EEA0AD6A7F075352E9"/>
          </w:pPr>
          <w:r w:rsidRPr="00BD17C2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3"/>
    <w:rsid w:val="00116E95"/>
    <w:rsid w:val="003971B3"/>
    <w:rsid w:val="0099731F"/>
    <w:rsid w:val="00AC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08CA7F1CDDC148EEA0AD6A7F075352E9">
    <w:name w:val="08CA7F1CDDC148EEA0AD6A7F07535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6" ma:contentTypeDescription="Crear nuevo documento." ma:contentTypeScope="" ma:versionID="59f2aa933d2f844c688b88d221a20f4a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4a3ea37e1e7d1c72e09e5306ddf8c405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FB5CD-4D68-4BAB-856F-A8AEDBC20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C7847-3CA2-4347-9F59-D59EDFA814CF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customXml/itemProps3.xml><?xml version="1.0" encoding="utf-8"?>
<ds:datastoreItem xmlns:ds="http://schemas.openxmlformats.org/officeDocument/2006/customXml" ds:itemID="{444AD620-C264-4284-A2E0-302A9D800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218DC-2EED-4D37-B0D5-01B60FDA3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Convocatorias</Template>
  <TotalTime>7</TotalTime>
  <Pages>3</Pages>
  <Words>1043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Convocatoria T2 de 2026: Conformación de un banco de resultados de investigación con potencial de patentamiento de invención, de modelo de utilidad o registro de diseño industrial</vt:lpstr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Convocatoria T1 de 2026: Conformación de un banco de resultados de investigación con potencial de patentamiento de invención, de modelo de utilidad o registro de diseño industrial</dc:title>
  <dc:subject/>
  <dc:creator>David Romero Betancur</dc:creator>
  <cp:keywords/>
  <dc:description/>
  <cp:lastModifiedBy>PAOLA DIAZJHINNA</cp:lastModifiedBy>
  <cp:revision>6</cp:revision>
  <cp:lastPrinted>2024-02-17T03:40:00Z</cp:lastPrinted>
  <dcterms:created xsi:type="dcterms:W3CDTF">2025-11-02T03:39:00Z</dcterms:created>
  <dcterms:modified xsi:type="dcterms:W3CDTF">2025-11-14T16:24:00Z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